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6F956" w14:textId="77777777" w:rsidR="00D5547E" w:rsidRPr="000024CC"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0024CC" w14:paraId="199B127C" w14:textId="77777777" w:rsidTr="005F7F7E">
        <w:tc>
          <w:tcPr>
            <w:tcW w:w="2438" w:type="dxa"/>
            <w:shd w:val="clear" w:color="auto" w:fill="auto"/>
          </w:tcPr>
          <w:p w14:paraId="7AE82F4E" w14:textId="77777777" w:rsidR="00F445B1" w:rsidRPr="000024CC" w:rsidRDefault="00F445B1" w:rsidP="004A6D2F">
            <w:pPr>
              <w:rPr>
                <w:rStyle w:val="Firstpagetablebold"/>
                <w:rFonts w:cs="Arial"/>
              </w:rPr>
            </w:pPr>
            <w:r w:rsidRPr="000024CC">
              <w:rPr>
                <w:rStyle w:val="Firstpagetablebold"/>
                <w:rFonts w:cs="Arial"/>
              </w:rPr>
              <w:t>To</w:t>
            </w:r>
            <w:r w:rsidR="005C35A5" w:rsidRPr="000024CC">
              <w:rPr>
                <w:rStyle w:val="Firstpagetablebold"/>
                <w:rFonts w:cs="Arial"/>
              </w:rPr>
              <w:t>:</w:t>
            </w:r>
          </w:p>
        </w:tc>
        <w:tc>
          <w:tcPr>
            <w:tcW w:w="6406" w:type="dxa"/>
            <w:shd w:val="clear" w:color="auto" w:fill="auto"/>
          </w:tcPr>
          <w:p w14:paraId="386BC616" w14:textId="77777777" w:rsidR="00F445B1" w:rsidRPr="000024CC" w:rsidRDefault="00DB7AD7" w:rsidP="004A6D2F">
            <w:pPr>
              <w:rPr>
                <w:rStyle w:val="Firstpagetablebold"/>
                <w:rFonts w:cs="Arial"/>
              </w:rPr>
            </w:pPr>
            <w:r w:rsidRPr="000024CC">
              <w:rPr>
                <w:rStyle w:val="Firstpagetablebold"/>
                <w:rFonts w:cs="Arial"/>
              </w:rPr>
              <w:t>Cabinet</w:t>
            </w:r>
          </w:p>
        </w:tc>
      </w:tr>
      <w:tr w:rsidR="00CE544A" w:rsidRPr="000024CC" w14:paraId="16E46330" w14:textId="77777777" w:rsidTr="005F7F7E">
        <w:tc>
          <w:tcPr>
            <w:tcW w:w="2438" w:type="dxa"/>
            <w:shd w:val="clear" w:color="auto" w:fill="auto"/>
          </w:tcPr>
          <w:p w14:paraId="6D20E660" w14:textId="77777777" w:rsidR="00F445B1" w:rsidRPr="000024CC" w:rsidRDefault="00F445B1" w:rsidP="004A6D2F">
            <w:pPr>
              <w:rPr>
                <w:rStyle w:val="Firstpagetablebold"/>
                <w:rFonts w:cs="Arial"/>
              </w:rPr>
            </w:pPr>
            <w:r w:rsidRPr="000024CC">
              <w:rPr>
                <w:rStyle w:val="Firstpagetablebold"/>
                <w:rFonts w:cs="Arial"/>
              </w:rPr>
              <w:t>Dat</w:t>
            </w:r>
            <w:r w:rsidR="005C35A5" w:rsidRPr="000024CC">
              <w:rPr>
                <w:rStyle w:val="Firstpagetablebold"/>
                <w:rFonts w:cs="Arial"/>
              </w:rPr>
              <w:t>e:</w:t>
            </w:r>
          </w:p>
        </w:tc>
        <w:tc>
          <w:tcPr>
            <w:tcW w:w="6406" w:type="dxa"/>
            <w:shd w:val="clear" w:color="auto" w:fill="auto"/>
          </w:tcPr>
          <w:p w14:paraId="2232EE15" w14:textId="77777777" w:rsidR="00F445B1" w:rsidRPr="000024CC" w:rsidRDefault="000B60E0" w:rsidP="000B60E0">
            <w:pPr>
              <w:rPr>
                <w:rFonts w:cs="Arial"/>
                <w:b/>
              </w:rPr>
            </w:pPr>
            <w:r>
              <w:rPr>
                <w:rStyle w:val="Firstpagetablebold"/>
                <w:rFonts w:cs="Arial"/>
              </w:rPr>
              <w:t xml:space="preserve">10 February </w:t>
            </w:r>
            <w:r w:rsidR="007F7A36" w:rsidRPr="000024CC">
              <w:rPr>
                <w:rStyle w:val="Firstpagetablebold"/>
                <w:rFonts w:cs="Arial"/>
              </w:rPr>
              <w:t>2021</w:t>
            </w:r>
          </w:p>
        </w:tc>
      </w:tr>
      <w:tr w:rsidR="00CE544A" w:rsidRPr="000024CC" w14:paraId="15CE37A2" w14:textId="77777777" w:rsidTr="005F7F7E">
        <w:tc>
          <w:tcPr>
            <w:tcW w:w="2438" w:type="dxa"/>
            <w:shd w:val="clear" w:color="auto" w:fill="auto"/>
          </w:tcPr>
          <w:p w14:paraId="52BDEDD2" w14:textId="77777777" w:rsidR="00F445B1" w:rsidRPr="000024CC" w:rsidRDefault="00F445B1" w:rsidP="004A6D2F">
            <w:pPr>
              <w:rPr>
                <w:rStyle w:val="Firstpagetablebold"/>
                <w:rFonts w:cs="Arial"/>
              </w:rPr>
            </w:pPr>
            <w:r w:rsidRPr="000024CC">
              <w:rPr>
                <w:rStyle w:val="Firstpagetablebold"/>
                <w:rFonts w:cs="Arial"/>
              </w:rPr>
              <w:t>Report of</w:t>
            </w:r>
            <w:r w:rsidR="005C35A5" w:rsidRPr="000024CC">
              <w:rPr>
                <w:rStyle w:val="Firstpagetablebold"/>
                <w:rFonts w:cs="Arial"/>
              </w:rPr>
              <w:t>:</w:t>
            </w:r>
          </w:p>
        </w:tc>
        <w:tc>
          <w:tcPr>
            <w:tcW w:w="6406" w:type="dxa"/>
            <w:shd w:val="clear" w:color="auto" w:fill="auto"/>
          </w:tcPr>
          <w:p w14:paraId="5B5972C5" w14:textId="77777777" w:rsidR="00F445B1" w:rsidRPr="000024CC" w:rsidRDefault="007F7A36" w:rsidP="004A6D2F">
            <w:pPr>
              <w:rPr>
                <w:rStyle w:val="Firstpagetablebold"/>
                <w:rFonts w:cs="Arial"/>
              </w:rPr>
            </w:pPr>
            <w:r w:rsidRPr="000024CC">
              <w:rPr>
                <w:rStyle w:val="Firstpagetablebold"/>
                <w:rFonts w:cs="Arial"/>
              </w:rPr>
              <w:t>Head of Housing Services</w:t>
            </w:r>
          </w:p>
          <w:p w14:paraId="1194D579" w14:textId="77777777" w:rsidR="00B442B6" w:rsidRPr="000024CC" w:rsidRDefault="00B442B6" w:rsidP="00B442B6">
            <w:pPr>
              <w:rPr>
                <w:rStyle w:val="Firstpagetablebold"/>
                <w:rFonts w:cs="Arial"/>
              </w:rPr>
            </w:pPr>
            <w:r w:rsidRPr="000024CC">
              <w:rPr>
                <w:rStyle w:val="Firstpagetablebold"/>
                <w:rFonts w:cs="Arial"/>
              </w:rPr>
              <w:t>Head of Financial Services</w:t>
            </w:r>
          </w:p>
        </w:tc>
      </w:tr>
      <w:tr w:rsidR="00CE544A" w:rsidRPr="000024CC" w14:paraId="23FD0704" w14:textId="77777777" w:rsidTr="005F7F7E">
        <w:tc>
          <w:tcPr>
            <w:tcW w:w="2438" w:type="dxa"/>
            <w:shd w:val="clear" w:color="auto" w:fill="auto"/>
          </w:tcPr>
          <w:p w14:paraId="23390FEE" w14:textId="77777777" w:rsidR="00F445B1" w:rsidRPr="000024CC" w:rsidRDefault="00F445B1" w:rsidP="004A6D2F">
            <w:pPr>
              <w:rPr>
                <w:rStyle w:val="Firstpagetablebold"/>
                <w:rFonts w:cs="Arial"/>
              </w:rPr>
            </w:pPr>
            <w:r w:rsidRPr="000024CC">
              <w:rPr>
                <w:rStyle w:val="Firstpagetablebold"/>
                <w:rFonts w:cs="Arial"/>
              </w:rPr>
              <w:t xml:space="preserve">Title of Report: </w:t>
            </w:r>
          </w:p>
        </w:tc>
        <w:tc>
          <w:tcPr>
            <w:tcW w:w="6406" w:type="dxa"/>
            <w:shd w:val="clear" w:color="auto" w:fill="auto"/>
          </w:tcPr>
          <w:p w14:paraId="5F24DB46" w14:textId="77777777" w:rsidR="00F445B1" w:rsidRPr="000024CC" w:rsidRDefault="00B442B6" w:rsidP="004A6D2F">
            <w:pPr>
              <w:rPr>
                <w:rStyle w:val="Firstpagetablebold"/>
                <w:rFonts w:cs="Arial"/>
              </w:rPr>
            </w:pPr>
            <w:r w:rsidRPr="000024CC">
              <w:rPr>
                <w:rStyle w:val="Firstpagetablebold"/>
                <w:rFonts w:cs="Arial"/>
              </w:rPr>
              <w:t>Housing Asset Management System Project update and funding request</w:t>
            </w:r>
          </w:p>
        </w:tc>
      </w:tr>
    </w:tbl>
    <w:p w14:paraId="3D02DE39" w14:textId="77777777" w:rsidR="004F20EF" w:rsidRPr="000024CC"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0024CC" w14:paraId="46278B8F" w14:textId="77777777" w:rsidTr="0080749A">
        <w:tc>
          <w:tcPr>
            <w:tcW w:w="8845" w:type="dxa"/>
            <w:gridSpan w:val="3"/>
            <w:tcBorders>
              <w:bottom w:val="single" w:sz="8" w:space="0" w:color="000000"/>
            </w:tcBorders>
            <w:hideMark/>
          </w:tcPr>
          <w:p w14:paraId="32140C45" w14:textId="77777777" w:rsidR="00D5547E" w:rsidRPr="000024CC" w:rsidRDefault="00745BF0" w:rsidP="00745BF0">
            <w:pPr>
              <w:jc w:val="center"/>
              <w:rPr>
                <w:rStyle w:val="Firstpagetablebold"/>
                <w:rFonts w:cs="Arial"/>
              </w:rPr>
            </w:pPr>
            <w:r w:rsidRPr="000024CC">
              <w:rPr>
                <w:rStyle w:val="Firstpagetablebold"/>
                <w:rFonts w:cs="Arial"/>
              </w:rPr>
              <w:t>Summary and r</w:t>
            </w:r>
            <w:r w:rsidR="00D5547E" w:rsidRPr="000024CC">
              <w:rPr>
                <w:rStyle w:val="Firstpagetablebold"/>
                <w:rFonts w:cs="Arial"/>
              </w:rPr>
              <w:t>ecommendations</w:t>
            </w:r>
          </w:p>
        </w:tc>
      </w:tr>
      <w:tr w:rsidR="00D5547E" w:rsidRPr="000024CC" w14:paraId="62E2988E" w14:textId="77777777" w:rsidTr="0080749A">
        <w:tc>
          <w:tcPr>
            <w:tcW w:w="2438" w:type="dxa"/>
            <w:gridSpan w:val="2"/>
            <w:tcBorders>
              <w:top w:val="single" w:sz="8" w:space="0" w:color="000000"/>
              <w:left w:val="single" w:sz="8" w:space="0" w:color="000000"/>
              <w:bottom w:val="nil"/>
              <w:right w:val="nil"/>
            </w:tcBorders>
            <w:hideMark/>
          </w:tcPr>
          <w:p w14:paraId="7621B447" w14:textId="77777777" w:rsidR="00D5547E" w:rsidRPr="000024CC" w:rsidRDefault="00D5547E">
            <w:pPr>
              <w:rPr>
                <w:rStyle w:val="Firstpagetablebold"/>
                <w:rFonts w:cs="Arial"/>
              </w:rPr>
            </w:pPr>
            <w:r w:rsidRPr="000024CC">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060E0501" w14:textId="77777777" w:rsidR="00D5547E" w:rsidRPr="000024CC" w:rsidRDefault="0058219D" w:rsidP="00DB7AD7">
            <w:pPr>
              <w:rPr>
                <w:rFonts w:cs="Arial"/>
              </w:rPr>
            </w:pPr>
            <w:r w:rsidRPr="000024CC">
              <w:rPr>
                <w:rFonts w:cs="Arial"/>
              </w:rPr>
              <w:t>To present the current status of the Housing and Asset Management System, to describe the plan for completion, and to seek additional funds to achieve project go-live.</w:t>
            </w:r>
          </w:p>
        </w:tc>
      </w:tr>
      <w:tr w:rsidR="00D5547E" w:rsidRPr="000024CC" w14:paraId="188B1854" w14:textId="77777777" w:rsidTr="0080749A">
        <w:tc>
          <w:tcPr>
            <w:tcW w:w="2438" w:type="dxa"/>
            <w:gridSpan w:val="2"/>
            <w:tcBorders>
              <w:top w:val="nil"/>
              <w:left w:val="single" w:sz="8" w:space="0" w:color="000000"/>
              <w:bottom w:val="nil"/>
              <w:right w:val="nil"/>
            </w:tcBorders>
            <w:hideMark/>
          </w:tcPr>
          <w:p w14:paraId="2A036B56" w14:textId="77777777" w:rsidR="00D5547E" w:rsidRPr="000024CC" w:rsidRDefault="00D5547E">
            <w:pPr>
              <w:rPr>
                <w:rStyle w:val="Firstpagetablebold"/>
                <w:rFonts w:cs="Arial"/>
              </w:rPr>
            </w:pPr>
            <w:r w:rsidRPr="000024CC">
              <w:rPr>
                <w:rStyle w:val="Firstpagetablebold"/>
                <w:rFonts w:cs="Arial"/>
              </w:rPr>
              <w:t>Key decision:</w:t>
            </w:r>
          </w:p>
        </w:tc>
        <w:tc>
          <w:tcPr>
            <w:tcW w:w="6407" w:type="dxa"/>
            <w:tcBorders>
              <w:top w:val="nil"/>
              <w:left w:val="nil"/>
              <w:bottom w:val="nil"/>
              <w:right w:val="single" w:sz="8" w:space="0" w:color="000000"/>
            </w:tcBorders>
            <w:hideMark/>
          </w:tcPr>
          <w:p w14:paraId="60397D5C" w14:textId="77777777" w:rsidR="00D5547E" w:rsidRPr="000024CC" w:rsidRDefault="00D5547E" w:rsidP="005F7F7E">
            <w:pPr>
              <w:rPr>
                <w:rFonts w:cs="Arial"/>
              </w:rPr>
            </w:pPr>
            <w:r w:rsidRPr="000024CC">
              <w:rPr>
                <w:rFonts w:cs="Arial"/>
                <w:color w:val="auto"/>
              </w:rPr>
              <w:t>No</w:t>
            </w:r>
          </w:p>
        </w:tc>
      </w:tr>
      <w:tr w:rsidR="005307B5" w:rsidRPr="000024CC" w14:paraId="38CFB8CE" w14:textId="77777777" w:rsidTr="0080749A">
        <w:tc>
          <w:tcPr>
            <w:tcW w:w="2438" w:type="dxa"/>
            <w:gridSpan w:val="2"/>
            <w:tcBorders>
              <w:top w:val="nil"/>
              <w:left w:val="single" w:sz="8" w:space="0" w:color="000000"/>
              <w:bottom w:val="nil"/>
              <w:right w:val="nil"/>
            </w:tcBorders>
            <w:hideMark/>
          </w:tcPr>
          <w:p w14:paraId="2B310331" w14:textId="77777777" w:rsidR="005307B5" w:rsidRPr="000024CC" w:rsidRDefault="005307B5" w:rsidP="005307B5">
            <w:pPr>
              <w:rPr>
                <w:rStyle w:val="Firstpagetablebold"/>
                <w:rFonts w:cs="Arial"/>
              </w:rPr>
            </w:pPr>
            <w:r w:rsidRPr="000024CC">
              <w:rPr>
                <w:rStyle w:val="Firstpagetablebold"/>
                <w:rFonts w:cs="Arial"/>
              </w:rPr>
              <w:t>Cabinet Member:</w:t>
            </w:r>
          </w:p>
        </w:tc>
        <w:tc>
          <w:tcPr>
            <w:tcW w:w="6407" w:type="dxa"/>
            <w:tcBorders>
              <w:top w:val="nil"/>
              <w:left w:val="nil"/>
              <w:bottom w:val="nil"/>
              <w:right w:val="single" w:sz="8" w:space="0" w:color="000000"/>
            </w:tcBorders>
            <w:hideMark/>
          </w:tcPr>
          <w:p w14:paraId="12543CE1" w14:textId="77777777" w:rsidR="005307B5" w:rsidRPr="000024CC" w:rsidRDefault="00493D1F" w:rsidP="005307B5">
            <w:pPr>
              <w:rPr>
                <w:rFonts w:cs="Arial"/>
              </w:rPr>
            </w:pPr>
            <w:r w:rsidRPr="000024CC">
              <w:rPr>
                <w:rFonts w:cs="Arial"/>
              </w:rPr>
              <w:t xml:space="preserve">Cabinet Member for </w:t>
            </w:r>
            <w:r w:rsidR="00306278" w:rsidRPr="000024CC">
              <w:rPr>
                <w:rFonts w:cs="Arial"/>
              </w:rPr>
              <w:t>Affordable Housing</w:t>
            </w:r>
            <w:r w:rsidR="00306278" w:rsidRPr="000024CC" w:rsidDel="00306278">
              <w:rPr>
                <w:rFonts w:cs="Arial"/>
              </w:rPr>
              <w:t xml:space="preserve"> </w:t>
            </w:r>
          </w:p>
          <w:p w14:paraId="44B0418E" w14:textId="77777777" w:rsidR="00493D1F" w:rsidRPr="000024CC" w:rsidRDefault="00493D1F" w:rsidP="00306278">
            <w:pPr>
              <w:rPr>
                <w:rFonts w:cs="Arial"/>
              </w:rPr>
            </w:pPr>
            <w:r w:rsidRPr="000024CC">
              <w:rPr>
                <w:rFonts w:cs="Arial"/>
              </w:rPr>
              <w:t>Cabinet Member for</w:t>
            </w:r>
            <w:r w:rsidR="00306278" w:rsidRPr="000024CC">
              <w:rPr>
                <w:rFonts w:cs="Arial"/>
              </w:rPr>
              <w:t xml:space="preserve"> Customer Focused Services</w:t>
            </w:r>
            <w:r w:rsidR="00306278" w:rsidRPr="000024CC" w:rsidDel="00306278">
              <w:rPr>
                <w:rFonts w:cs="Arial"/>
              </w:rPr>
              <w:t xml:space="preserve"> </w:t>
            </w:r>
          </w:p>
        </w:tc>
      </w:tr>
      <w:tr w:rsidR="005307B5" w:rsidRPr="000024CC" w14:paraId="577C9C85" w14:textId="77777777" w:rsidTr="0080749A">
        <w:tc>
          <w:tcPr>
            <w:tcW w:w="2438" w:type="dxa"/>
            <w:gridSpan w:val="2"/>
            <w:tcBorders>
              <w:top w:val="nil"/>
              <w:left w:val="single" w:sz="8" w:space="0" w:color="000000"/>
              <w:bottom w:val="nil"/>
              <w:right w:val="nil"/>
            </w:tcBorders>
          </w:tcPr>
          <w:p w14:paraId="13F196F9" w14:textId="77777777" w:rsidR="005307B5" w:rsidRPr="000024CC" w:rsidRDefault="005307B5" w:rsidP="005307B5">
            <w:pPr>
              <w:rPr>
                <w:rStyle w:val="Firstpagetablebold"/>
                <w:rFonts w:cs="Arial"/>
              </w:rPr>
            </w:pPr>
            <w:r w:rsidRPr="000024CC">
              <w:rPr>
                <w:rStyle w:val="Firstpagetablebold"/>
                <w:rFonts w:cs="Arial"/>
              </w:rPr>
              <w:t>Corporate Priority:</w:t>
            </w:r>
          </w:p>
        </w:tc>
        <w:tc>
          <w:tcPr>
            <w:tcW w:w="6407" w:type="dxa"/>
            <w:tcBorders>
              <w:top w:val="nil"/>
              <w:left w:val="nil"/>
              <w:bottom w:val="nil"/>
              <w:right w:val="single" w:sz="8" w:space="0" w:color="000000"/>
            </w:tcBorders>
          </w:tcPr>
          <w:p w14:paraId="363983A8" w14:textId="77777777" w:rsidR="005307B5" w:rsidRPr="000024CC" w:rsidRDefault="00493D1F" w:rsidP="005307B5">
            <w:pPr>
              <w:rPr>
                <w:rFonts w:cs="Arial"/>
              </w:rPr>
            </w:pPr>
            <w:r w:rsidRPr="000024CC">
              <w:rPr>
                <w:rFonts w:cs="Arial"/>
              </w:rPr>
              <w:t>All</w:t>
            </w:r>
          </w:p>
        </w:tc>
      </w:tr>
      <w:tr w:rsidR="005307B5" w:rsidRPr="000024CC" w14:paraId="3E61E54E" w14:textId="77777777" w:rsidTr="0080749A">
        <w:tc>
          <w:tcPr>
            <w:tcW w:w="2438" w:type="dxa"/>
            <w:gridSpan w:val="2"/>
            <w:tcBorders>
              <w:top w:val="nil"/>
              <w:left w:val="single" w:sz="8" w:space="0" w:color="000000"/>
              <w:bottom w:val="nil"/>
              <w:right w:val="nil"/>
            </w:tcBorders>
            <w:hideMark/>
          </w:tcPr>
          <w:p w14:paraId="628D8802" w14:textId="77777777" w:rsidR="005307B5" w:rsidRPr="000024CC" w:rsidRDefault="005307B5" w:rsidP="005307B5">
            <w:pPr>
              <w:rPr>
                <w:rStyle w:val="Firstpagetablebold"/>
                <w:rFonts w:cs="Arial"/>
              </w:rPr>
            </w:pPr>
            <w:r w:rsidRPr="000024CC">
              <w:rPr>
                <w:rStyle w:val="Firstpagetablebold"/>
                <w:rFonts w:cs="Arial"/>
              </w:rPr>
              <w:t>Policy Framework:</w:t>
            </w:r>
          </w:p>
        </w:tc>
        <w:tc>
          <w:tcPr>
            <w:tcW w:w="6407" w:type="dxa"/>
            <w:tcBorders>
              <w:top w:val="nil"/>
              <w:left w:val="nil"/>
              <w:bottom w:val="nil"/>
              <w:right w:val="single" w:sz="8" w:space="0" w:color="000000"/>
            </w:tcBorders>
            <w:hideMark/>
          </w:tcPr>
          <w:p w14:paraId="6AA7B1EE" w14:textId="6DF2B610" w:rsidR="005307B5" w:rsidRPr="000024CC" w:rsidRDefault="007F06A5" w:rsidP="005307B5">
            <w:pPr>
              <w:rPr>
                <w:rFonts w:cs="Arial"/>
              </w:rPr>
            </w:pPr>
            <w:r>
              <w:rPr>
                <w:rFonts w:cs="Arial"/>
              </w:rPr>
              <w:t>Council Strategy 2020-24</w:t>
            </w:r>
          </w:p>
        </w:tc>
      </w:tr>
      <w:tr w:rsidR="005F7F7E" w:rsidRPr="000024CC" w14:paraId="350B2C24" w14:textId="77777777" w:rsidTr="00A46E98">
        <w:trPr>
          <w:trHeight w:val="413"/>
        </w:trPr>
        <w:tc>
          <w:tcPr>
            <w:tcW w:w="8845" w:type="dxa"/>
            <w:gridSpan w:val="3"/>
            <w:tcBorders>
              <w:bottom w:val="single" w:sz="8" w:space="0" w:color="000000"/>
            </w:tcBorders>
          </w:tcPr>
          <w:p w14:paraId="4CA6C61D" w14:textId="26978D63" w:rsidR="005F7F7E" w:rsidRPr="000024CC" w:rsidRDefault="007F06A5" w:rsidP="00DB7AD7">
            <w:pPr>
              <w:rPr>
                <w:rFonts w:cs="Arial"/>
              </w:rPr>
            </w:pPr>
            <w:r>
              <w:rPr>
                <w:rStyle w:val="Firstpagetablebold"/>
                <w:rFonts w:cs="Arial"/>
              </w:rPr>
              <w:t>Recommendations</w:t>
            </w:r>
            <w:r w:rsidR="005F7F7E" w:rsidRPr="000024CC">
              <w:rPr>
                <w:rStyle w:val="Firstpagetablebold"/>
                <w:rFonts w:cs="Arial"/>
              </w:rPr>
              <w:t>:</w:t>
            </w:r>
            <w:r w:rsidR="005F7F7E" w:rsidRPr="007F06A5">
              <w:rPr>
                <w:rStyle w:val="Firstpagetablebold"/>
                <w:rFonts w:cs="Arial"/>
                <w:b w:val="0"/>
              </w:rPr>
              <w:t xml:space="preserve">That </w:t>
            </w:r>
            <w:r w:rsidR="00DB7AD7" w:rsidRPr="007F06A5">
              <w:rPr>
                <w:rStyle w:val="Firstpagetablebold"/>
                <w:rFonts w:cs="Arial"/>
                <w:b w:val="0"/>
              </w:rPr>
              <w:t>Cabinet</w:t>
            </w:r>
            <w:r w:rsidR="005F7F7E" w:rsidRPr="007F06A5">
              <w:rPr>
                <w:rStyle w:val="Firstpagetablebold"/>
                <w:rFonts w:cs="Arial"/>
                <w:b w:val="0"/>
              </w:rPr>
              <w:t xml:space="preserve"> resolves to:</w:t>
            </w:r>
          </w:p>
        </w:tc>
      </w:tr>
      <w:tr w:rsidR="0030208D" w:rsidRPr="000024CC" w14:paraId="459D0D4F" w14:textId="77777777" w:rsidTr="00A46E98">
        <w:trPr>
          <w:trHeight w:val="283"/>
        </w:trPr>
        <w:tc>
          <w:tcPr>
            <w:tcW w:w="426" w:type="dxa"/>
            <w:tcBorders>
              <w:top w:val="single" w:sz="8" w:space="0" w:color="000000"/>
              <w:left w:val="single" w:sz="8" w:space="0" w:color="000000"/>
              <w:bottom w:val="nil"/>
              <w:right w:val="nil"/>
            </w:tcBorders>
          </w:tcPr>
          <w:p w14:paraId="08A9203F" w14:textId="77777777" w:rsidR="0030208D" w:rsidRPr="000024CC" w:rsidRDefault="00046D2B" w:rsidP="004A6D2F">
            <w:pPr>
              <w:rPr>
                <w:rFonts w:cs="Arial"/>
              </w:rPr>
            </w:pPr>
            <w:bookmarkStart w:id="0" w:name="_GoBack" w:colFirst="1" w:colLast="1"/>
            <w:r w:rsidRPr="000024CC">
              <w:rPr>
                <w:rFonts w:cs="Arial"/>
              </w:rPr>
              <w:t>1.</w:t>
            </w:r>
          </w:p>
        </w:tc>
        <w:tc>
          <w:tcPr>
            <w:tcW w:w="8419" w:type="dxa"/>
            <w:gridSpan w:val="2"/>
            <w:tcBorders>
              <w:top w:val="single" w:sz="8" w:space="0" w:color="000000"/>
              <w:left w:val="nil"/>
              <w:bottom w:val="nil"/>
              <w:right w:val="single" w:sz="8" w:space="0" w:color="000000"/>
            </w:tcBorders>
            <w:shd w:val="clear" w:color="auto" w:fill="auto"/>
          </w:tcPr>
          <w:p w14:paraId="5B46C915" w14:textId="77777777" w:rsidR="0030208D" w:rsidRPr="000024CC" w:rsidRDefault="005307B5" w:rsidP="002069B3">
            <w:pPr>
              <w:rPr>
                <w:rFonts w:cs="Arial"/>
              </w:rPr>
            </w:pPr>
            <w:r w:rsidRPr="000024CC">
              <w:rPr>
                <w:rStyle w:val="Firstpagetablebold"/>
                <w:rFonts w:cs="Arial"/>
              </w:rPr>
              <w:t>Endorse</w:t>
            </w:r>
            <w:r w:rsidRPr="000024CC">
              <w:rPr>
                <w:rStyle w:val="Firstpagetablebold"/>
                <w:rFonts w:cs="Arial"/>
                <w:b w:val="0"/>
              </w:rPr>
              <w:t xml:space="preserve"> the revised go-live plan for the H</w:t>
            </w:r>
            <w:r w:rsidR="00493D1F" w:rsidRPr="000024CC">
              <w:rPr>
                <w:rStyle w:val="Firstpagetablebold"/>
                <w:rFonts w:cs="Arial"/>
                <w:b w:val="0"/>
              </w:rPr>
              <w:t xml:space="preserve">ousing </w:t>
            </w:r>
            <w:r w:rsidRPr="000024CC">
              <w:rPr>
                <w:rStyle w:val="Firstpagetablebold"/>
                <w:rFonts w:cs="Arial"/>
                <w:b w:val="0"/>
              </w:rPr>
              <w:t>A</w:t>
            </w:r>
            <w:r w:rsidR="00493D1F" w:rsidRPr="000024CC">
              <w:rPr>
                <w:rStyle w:val="Firstpagetablebold"/>
                <w:rFonts w:cs="Arial"/>
                <w:b w:val="0"/>
              </w:rPr>
              <w:t xml:space="preserve">sset </w:t>
            </w:r>
            <w:r w:rsidRPr="000024CC">
              <w:rPr>
                <w:rStyle w:val="Firstpagetablebold"/>
                <w:rFonts w:cs="Arial"/>
                <w:b w:val="0"/>
              </w:rPr>
              <w:t>M</w:t>
            </w:r>
            <w:r w:rsidR="00493D1F" w:rsidRPr="000024CC">
              <w:rPr>
                <w:rStyle w:val="Firstpagetablebold"/>
                <w:rFonts w:cs="Arial"/>
                <w:b w:val="0"/>
              </w:rPr>
              <w:t xml:space="preserve">anagement </w:t>
            </w:r>
            <w:r w:rsidRPr="000024CC">
              <w:rPr>
                <w:rStyle w:val="Firstpagetablebold"/>
                <w:rFonts w:cs="Arial"/>
                <w:b w:val="0"/>
              </w:rPr>
              <w:t>S</w:t>
            </w:r>
            <w:r w:rsidR="00493D1F" w:rsidRPr="000024CC">
              <w:rPr>
                <w:rStyle w:val="Firstpagetablebold"/>
                <w:rFonts w:cs="Arial"/>
                <w:b w:val="0"/>
              </w:rPr>
              <w:t>ystem</w:t>
            </w:r>
            <w:r w:rsidRPr="000024CC">
              <w:rPr>
                <w:rStyle w:val="Firstpagetablebold"/>
                <w:rFonts w:cs="Arial"/>
                <w:b w:val="0"/>
              </w:rPr>
              <w:t xml:space="preserve"> project;</w:t>
            </w:r>
          </w:p>
        </w:tc>
      </w:tr>
      <w:tr w:rsidR="0030208D" w:rsidRPr="000024CC" w14:paraId="31D109DF" w14:textId="77777777" w:rsidTr="00A46E98">
        <w:trPr>
          <w:trHeight w:val="283"/>
        </w:trPr>
        <w:tc>
          <w:tcPr>
            <w:tcW w:w="426" w:type="dxa"/>
            <w:tcBorders>
              <w:top w:val="nil"/>
              <w:left w:val="single" w:sz="8" w:space="0" w:color="000000"/>
              <w:bottom w:val="nil"/>
              <w:right w:val="nil"/>
            </w:tcBorders>
          </w:tcPr>
          <w:p w14:paraId="35147202" w14:textId="77777777" w:rsidR="0030208D" w:rsidRPr="000024CC" w:rsidRDefault="00046D2B" w:rsidP="004A6D2F">
            <w:pPr>
              <w:rPr>
                <w:rFonts w:cs="Arial"/>
              </w:rPr>
            </w:pPr>
            <w:r w:rsidRPr="000024CC">
              <w:rPr>
                <w:rFonts w:cs="Arial"/>
              </w:rPr>
              <w:t>2.</w:t>
            </w:r>
          </w:p>
        </w:tc>
        <w:tc>
          <w:tcPr>
            <w:tcW w:w="8419" w:type="dxa"/>
            <w:gridSpan w:val="2"/>
            <w:tcBorders>
              <w:top w:val="nil"/>
              <w:left w:val="nil"/>
              <w:bottom w:val="nil"/>
              <w:right w:val="single" w:sz="8" w:space="0" w:color="000000"/>
            </w:tcBorders>
            <w:shd w:val="clear" w:color="auto" w:fill="auto"/>
          </w:tcPr>
          <w:p w14:paraId="6C667630" w14:textId="77777777" w:rsidR="0030208D" w:rsidRPr="000024CC" w:rsidRDefault="001A32D7" w:rsidP="007D1D0F">
            <w:pPr>
              <w:rPr>
                <w:rFonts w:cs="Arial"/>
              </w:rPr>
            </w:pPr>
            <w:r>
              <w:rPr>
                <w:rStyle w:val="Firstpagetablebold"/>
                <w:rFonts w:cs="Arial"/>
              </w:rPr>
              <w:t>Recommend to Council the a</w:t>
            </w:r>
            <w:r w:rsidR="005307B5" w:rsidRPr="000024CC">
              <w:rPr>
                <w:rStyle w:val="Firstpagetablebold"/>
                <w:rFonts w:cs="Arial"/>
              </w:rPr>
              <w:t>pprov</w:t>
            </w:r>
            <w:r>
              <w:rPr>
                <w:rStyle w:val="Firstpagetablebold"/>
                <w:rFonts w:cs="Arial"/>
              </w:rPr>
              <w:t xml:space="preserve">al of a capital budget for </w:t>
            </w:r>
            <w:r w:rsidR="005307B5" w:rsidRPr="000024CC">
              <w:rPr>
                <w:rStyle w:val="Firstpagetablebold"/>
                <w:rFonts w:cs="Arial"/>
                <w:b w:val="0"/>
              </w:rPr>
              <w:t xml:space="preserve">the additional expenditure of </w:t>
            </w:r>
            <w:r w:rsidR="007D1D0F">
              <w:rPr>
                <w:rStyle w:val="Firstpagetablebold"/>
                <w:rFonts w:cs="Arial"/>
                <w:b w:val="0"/>
              </w:rPr>
              <w:t>£264,296</w:t>
            </w:r>
            <w:r w:rsidR="000024CC">
              <w:rPr>
                <w:rStyle w:val="Firstpagetablebold"/>
                <w:rFonts w:cs="Arial"/>
                <w:b w:val="0"/>
              </w:rPr>
              <w:t xml:space="preserve"> </w:t>
            </w:r>
            <w:r w:rsidR="005307B5" w:rsidRPr="000024CC">
              <w:rPr>
                <w:rStyle w:val="Firstpagetablebold"/>
                <w:rFonts w:cs="Arial"/>
                <w:b w:val="0"/>
              </w:rPr>
              <w:t>required to complete the project; and</w:t>
            </w:r>
          </w:p>
        </w:tc>
      </w:tr>
      <w:tr w:rsidR="00232F5B" w:rsidRPr="000024CC" w14:paraId="163F5DF9" w14:textId="77777777" w:rsidTr="00A46E98">
        <w:trPr>
          <w:trHeight w:val="283"/>
        </w:trPr>
        <w:tc>
          <w:tcPr>
            <w:tcW w:w="426" w:type="dxa"/>
            <w:tcBorders>
              <w:top w:val="nil"/>
              <w:left w:val="single" w:sz="8" w:space="0" w:color="000000"/>
              <w:bottom w:val="nil"/>
              <w:right w:val="nil"/>
            </w:tcBorders>
          </w:tcPr>
          <w:p w14:paraId="3B74825C" w14:textId="77777777" w:rsidR="0030208D" w:rsidRPr="000024CC" w:rsidRDefault="00046D2B" w:rsidP="004A6D2F">
            <w:pPr>
              <w:rPr>
                <w:rFonts w:cs="Arial"/>
              </w:rPr>
            </w:pPr>
            <w:r w:rsidRPr="000024CC">
              <w:rPr>
                <w:rFonts w:cs="Arial"/>
              </w:rPr>
              <w:t>3.</w:t>
            </w:r>
          </w:p>
        </w:tc>
        <w:tc>
          <w:tcPr>
            <w:tcW w:w="8419" w:type="dxa"/>
            <w:gridSpan w:val="2"/>
            <w:tcBorders>
              <w:top w:val="nil"/>
              <w:left w:val="nil"/>
              <w:bottom w:val="nil"/>
              <w:right w:val="single" w:sz="8" w:space="0" w:color="000000"/>
            </w:tcBorders>
            <w:shd w:val="clear" w:color="auto" w:fill="auto"/>
          </w:tcPr>
          <w:p w14:paraId="7FB9CECC" w14:textId="77777777" w:rsidR="0030208D" w:rsidRPr="000024CC" w:rsidRDefault="005307B5" w:rsidP="00956AF7">
            <w:pPr>
              <w:rPr>
                <w:rFonts w:cs="Arial"/>
              </w:rPr>
            </w:pPr>
            <w:r w:rsidRPr="000024CC">
              <w:rPr>
                <w:rStyle w:val="Firstpagetablebold"/>
                <w:rFonts w:cs="Arial"/>
              </w:rPr>
              <w:t>Note</w:t>
            </w:r>
            <w:r w:rsidRPr="000024CC">
              <w:rPr>
                <w:rStyle w:val="Firstpagetablebold"/>
                <w:rFonts w:cs="Arial"/>
                <w:b w:val="0"/>
              </w:rPr>
              <w:t xml:space="preserve"> the </w:t>
            </w:r>
            <w:r w:rsidR="00956AF7">
              <w:rPr>
                <w:rStyle w:val="Firstpagetablebold"/>
                <w:rFonts w:cs="Arial"/>
                <w:b w:val="0"/>
              </w:rPr>
              <w:t>appendices supplied with this report.</w:t>
            </w:r>
          </w:p>
        </w:tc>
      </w:tr>
      <w:bookmarkEnd w:id="0"/>
    </w:tbl>
    <w:p w14:paraId="1804E8A9" w14:textId="77777777" w:rsidR="00CE544A" w:rsidRPr="000024CC" w:rsidRDefault="00CE544A"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0024CC" w14:paraId="2FFBF31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F5E4EA6" w14:textId="77777777" w:rsidR="00966D42" w:rsidRPr="000024CC" w:rsidRDefault="00966D42" w:rsidP="00263EA3">
            <w:pPr>
              <w:jc w:val="center"/>
              <w:rPr>
                <w:rFonts w:cs="Arial"/>
              </w:rPr>
            </w:pPr>
            <w:r w:rsidRPr="000024CC">
              <w:rPr>
                <w:rStyle w:val="Firstpagetablebold"/>
                <w:rFonts w:cs="Arial"/>
              </w:rPr>
              <w:t>Appendices</w:t>
            </w:r>
          </w:p>
        </w:tc>
      </w:tr>
      <w:tr w:rsidR="00ED5860" w:rsidRPr="000024CC" w14:paraId="3D8BE5BA" w14:textId="77777777" w:rsidTr="00A46E98">
        <w:tc>
          <w:tcPr>
            <w:tcW w:w="2438" w:type="dxa"/>
            <w:tcBorders>
              <w:top w:val="single" w:sz="8" w:space="0" w:color="000000"/>
              <w:left w:val="single" w:sz="8" w:space="0" w:color="000000"/>
              <w:bottom w:val="nil"/>
              <w:right w:val="nil"/>
            </w:tcBorders>
            <w:shd w:val="clear" w:color="auto" w:fill="auto"/>
          </w:tcPr>
          <w:p w14:paraId="6FA8DF4A" w14:textId="77777777" w:rsidR="00ED5860" w:rsidRPr="000024CC" w:rsidRDefault="00ED5860" w:rsidP="004A6D2F">
            <w:pPr>
              <w:rPr>
                <w:rFonts w:cs="Arial"/>
              </w:rPr>
            </w:pPr>
            <w:r w:rsidRPr="000024CC">
              <w:rPr>
                <w:rFonts w:cs="Arial"/>
              </w:rPr>
              <w:t>Appendix 1</w:t>
            </w:r>
          </w:p>
        </w:tc>
        <w:tc>
          <w:tcPr>
            <w:tcW w:w="6406" w:type="dxa"/>
            <w:tcBorders>
              <w:top w:val="single" w:sz="8" w:space="0" w:color="000000"/>
              <w:left w:val="nil"/>
              <w:bottom w:val="nil"/>
              <w:right w:val="single" w:sz="8" w:space="0" w:color="000000"/>
            </w:tcBorders>
          </w:tcPr>
          <w:p w14:paraId="3C8B0D59" w14:textId="77777777" w:rsidR="00ED5860" w:rsidRPr="000024CC" w:rsidRDefault="00EB06A2" w:rsidP="00EB06A2">
            <w:pPr>
              <w:rPr>
                <w:rFonts w:cs="Arial"/>
              </w:rPr>
            </w:pPr>
            <w:r w:rsidRPr="000024CC">
              <w:rPr>
                <w:rFonts w:cs="Arial"/>
              </w:rPr>
              <w:t>QL Risk Register</w:t>
            </w:r>
            <w:r w:rsidR="00956AF7">
              <w:rPr>
                <w:rFonts w:cs="Arial"/>
              </w:rPr>
              <w:t xml:space="preserve"> </w:t>
            </w:r>
          </w:p>
        </w:tc>
      </w:tr>
      <w:tr w:rsidR="00ED5860" w:rsidRPr="000024CC" w14:paraId="7FA0C021" w14:textId="77777777" w:rsidTr="00A46E98">
        <w:tc>
          <w:tcPr>
            <w:tcW w:w="2438" w:type="dxa"/>
            <w:tcBorders>
              <w:top w:val="nil"/>
              <w:left w:val="single" w:sz="8" w:space="0" w:color="000000"/>
              <w:bottom w:val="nil"/>
              <w:right w:val="nil"/>
            </w:tcBorders>
            <w:shd w:val="clear" w:color="auto" w:fill="auto"/>
          </w:tcPr>
          <w:p w14:paraId="3AF8D49B" w14:textId="77777777" w:rsidR="00ED5860" w:rsidRPr="000024CC" w:rsidRDefault="0030208D" w:rsidP="004A6D2F">
            <w:pPr>
              <w:rPr>
                <w:rFonts w:cs="Arial"/>
              </w:rPr>
            </w:pPr>
            <w:r w:rsidRPr="000024CC">
              <w:rPr>
                <w:rFonts w:cs="Arial"/>
              </w:rPr>
              <w:t>Appendix 2</w:t>
            </w:r>
          </w:p>
        </w:tc>
        <w:tc>
          <w:tcPr>
            <w:tcW w:w="6406" w:type="dxa"/>
            <w:tcBorders>
              <w:top w:val="nil"/>
              <w:left w:val="nil"/>
              <w:bottom w:val="nil"/>
              <w:right w:val="single" w:sz="8" w:space="0" w:color="000000"/>
            </w:tcBorders>
          </w:tcPr>
          <w:p w14:paraId="77011572" w14:textId="77777777" w:rsidR="00ED5860" w:rsidRPr="000024CC" w:rsidRDefault="00EB06A2" w:rsidP="00EB06A2">
            <w:pPr>
              <w:rPr>
                <w:rFonts w:cs="Arial"/>
              </w:rPr>
            </w:pPr>
            <w:r>
              <w:rPr>
                <w:rFonts w:cs="Arial"/>
              </w:rPr>
              <w:t>Issues and lessons learned -  EXEMPT</w:t>
            </w:r>
          </w:p>
        </w:tc>
      </w:tr>
      <w:tr w:rsidR="0030208D" w:rsidRPr="000024CC" w14:paraId="4EA1BA17" w14:textId="77777777" w:rsidTr="00A46E98">
        <w:tc>
          <w:tcPr>
            <w:tcW w:w="2438" w:type="dxa"/>
            <w:tcBorders>
              <w:top w:val="nil"/>
              <w:left w:val="single" w:sz="8" w:space="0" w:color="000000"/>
              <w:bottom w:val="nil"/>
              <w:right w:val="nil"/>
            </w:tcBorders>
            <w:shd w:val="clear" w:color="auto" w:fill="auto"/>
          </w:tcPr>
          <w:p w14:paraId="54F7ACCB" w14:textId="77777777" w:rsidR="0030208D" w:rsidRPr="000024CC" w:rsidRDefault="0030208D" w:rsidP="004A6D2F">
            <w:pPr>
              <w:rPr>
                <w:rFonts w:cs="Arial"/>
              </w:rPr>
            </w:pPr>
          </w:p>
        </w:tc>
        <w:tc>
          <w:tcPr>
            <w:tcW w:w="6406" w:type="dxa"/>
            <w:tcBorders>
              <w:top w:val="nil"/>
              <w:left w:val="nil"/>
              <w:bottom w:val="nil"/>
              <w:right w:val="single" w:sz="8" w:space="0" w:color="000000"/>
            </w:tcBorders>
          </w:tcPr>
          <w:p w14:paraId="3CACDCDC" w14:textId="77777777" w:rsidR="0030208D" w:rsidRPr="000024CC" w:rsidRDefault="0030208D" w:rsidP="004A6D2F">
            <w:pPr>
              <w:rPr>
                <w:rFonts w:cs="Arial"/>
              </w:rPr>
            </w:pPr>
          </w:p>
        </w:tc>
      </w:tr>
      <w:tr w:rsidR="0030208D" w:rsidRPr="000024CC" w14:paraId="25B3EE7A" w14:textId="77777777" w:rsidTr="00A46E98">
        <w:tc>
          <w:tcPr>
            <w:tcW w:w="2438" w:type="dxa"/>
            <w:tcBorders>
              <w:top w:val="nil"/>
              <w:left w:val="single" w:sz="8" w:space="0" w:color="000000"/>
              <w:bottom w:val="single" w:sz="8" w:space="0" w:color="000000"/>
              <w:right w:val="nil"/>
            </w:tcBorders>
            <w:shd w:val="clear" w:color="auto" w:fill="auto"/>
          </w:tcPr>
          <w:p w14:paraId="2D6CD9DA" w14:textId="77777777" w:rsidR="0030208D" w:rsidRPr="000024CC" w:rsidRDefault="0030208D" w:rsidP="004A6D2F">
            <w:pPr>
              <w:rPr>
                <w:rFonts w:cs="Arial"/>
              </w:rPr>
            </w:pPr>
          </w:p>
        </w:tc>
        <w:tc>
          <w:tcPr>
            <w:tcW w:w="6406" w:type="dxa"/>
            <w:tcBorders>
              <w:top w:val="nil"/>
              <w:left w:val="nil"/>
              <w:bottom w:val="single" w:sz="8" w:space="0" w:color="000000"/>
              <w:right w:val="single" w:sz="8" w:space="0" w:color="000000"/>
            </w:tcBorders>
          </w:tcPr>
          <w:p w14:paraId="43EE3D56" w14:textId="77777777" w:rsidR="0030208D" w:rsidRPr="000024CC" w:rsidRDefault="0030208D" w:rsidP="004A6D2F">
            <w:pPr>
              <w:rPr>
                <w:rFonts w:cs="Arial"/>
              </w:rPr>
            </w:pPr>
          </w:p>
        </w:tc>
      </w:tr>
    </w:tbl>
    <w:p w14:paraId="02D076D2" w14:textId="77777777" w:rsidR="001874A4" w:rsidRDefault="001874A4" w:rsidP="004A6D2F">
      <w:pPr>
        <w:pStyle w:val="Heading1"/>
        <w:rPr>
          <w:rFonts w:cs="Arial"/>
        </w:rPr>
      </w:pPr>
    </w:p>
    <w:p w14:paraId="126B081F" w14:textId="77777777" w:rsidR="00956AF7" w:rsidRPr="00956AF7" w:rsidRDefault="00956AF7" w:rsidP="00956AF7"/>
    <w:p w14:paraId="133F88AA" w14:textId="77777777" w:rsidR="007F06A5" w:rsidRDefault="007F06A5" w:rsidP="006A1B53">
      <w:pPr>
        <w:pStyle w:val="Heading1"/>
        <w:rPr>
          <w:rFonts w:cs="Arial"/>
        </w:rPr>
      </w:pPr>
    </w:p>
    <w:p w14:paraId="2F2338B9" w14:textId="77777777" w:rsidR="00AB0BBE" w:rsidRPr="000024CC" w:rsidRDefault="00AB0BBE" w:rsidP="006A1B53">
      <w:pPr>
        <w:pStyle w:val="Heading1"/>
        <w:rPr>
          <w:rFonts w:cs="Arial"/>
        </w:rPr>
      </w:pPr>
      <w:r w:rsidRPr="000024CC">
        <w:rPr>
          <w:rFonts w:cs="Arial"/>
        </w:rPr>
        <w:lastRenderedPageBreak/>
        <w:t>I</w:t>
      </w:r>
      <w:r w:rsidR="00F66DCA" w:rsidRPr="000024CC">
        <w:rPr>
          <w:rFonts w:cs="Arial"/>
        </w:rPr>
        <w:t>ntroduction and b</w:t>
      </w:r>
      <w:r w:rsidR="00151888" w:rsidRPr="000024CC">
        <w:rPr>
          <w:rFonts w:cs="Arial"/>
        </w:rPr>
        <w:t>ackground</w:t>
      </w:r>
    </w:p>
    <w:p w14:paraId="7543E92B" w14:textId="77777777" w:rsidR="00A95C1D" w:rsidRPr="000024CC" w:rsidRDefault="005348A0" w:rsidP="00A95C1D">
      <w:pPr>
        <w:pStyle w:val="ListParagraph"/>
        <w:rPr>
          <w:rFonts w:cs="Arial"/>
        </w:rPr>
      </w:pPr>
      <w:r w:rsidRPr="000024CC">
        <w:rPr>
          <w:rFonts w:cs="Arial"/>
        </w:rPr>
        <w:t xml:space="preserve">The </w:t>
      </w:r>
      <w:r w:rsidR="00B442B6" w:rsidRPr="000024CC">
        <w:rPr>
          <w:rFonts w:cs="Arial"/>
        </w:rPr>
        <w:t xml:space="preserve">Housing and Asset Management System </w:t>
      </w:r>
      <w:r w:rsidR="00A91F37" w:rsidRPr="000024CC">
        <w:rPr>
          <w:rFonts w:cs="Arial"/>
        </w:rPr>
        <w:t xml:space="preserve">(HAMS) </w:t>
      </w:r>
      <w:r w:rsidR="00B442B6" w:rsidRPr="000024CC">
        <w:rPr>
          <w:rFonts w:cs="Arial"/>
        </w:rPr>
        <w:t xml:space="preserve">project was approved in </w:t>
      </w:r>
      <w:r w:rsidR="0016504F" w:rsidRPr="000024CC">
        <w:rPr>
          <w:rFonts w:cs="Arial"/>
        </w:rPr>
        <w:t>May 2018</w:t>
      </w:r>
      <w:r w:rsidR="00357C60" w:rsidRPr="000024CC">
        <w:rPr>
          <w:rFonts w:cs="Arial"/>
        </w:rPr>
        <w:t xml:space="preserve"> </w:t>
      </w:r>
      <w:r w:rsidR="00B442B6" w:rsidRPr="000024CC">
        <w:rPr>
          <w:rFonts w:cs="Arial"/>
        </w:rPr>
        <w:t xml:space="preserve">and Aareon UK </w:t>
      </w:r>
      <w:r w:rsidR="00A95C1D" w:rsidRPr="000024CC">
        <w:rPr>
          <w:rFonts w:cs="Arial"/>
        </w:rPr>
        <w:t>Ltd appointed as supplier. The current approved budget for the project is £</w:t>
      </w:r>
      <w:r w:rsidR="00410DDA">
        <w:rPr>
          <w:rFonts w:cs="Arial"/>
        </w:rPr>
        <w:t>2.023</w:t>
      </w:r>
      <w:r w:rsidR="00A95C1D" w:rsidRPr="000024CC">
        <w:rPr>
          <w:rFonts w:cs="Arial"/>
        </w:rPr>
        <w:t>m.</w:t>
      </w:r>
    </w:p>
    <w:p w14:paraId="49552044" w14:textId="77777777" w:rsidR="00DE557C" w:rsidRPr="000024CC" w:rsidRDefault="00415FF4" w:rsidP="005570B5">
      <w:pPr>
        <w:pStyle w:val="ListParagraph"/>
        <w:rPr>
          <w:rFonts w:cs="Arial"/>
        </w:rPr>
      </w:pPr>
      <w:r w:rsidRPr="000024CC">
        <w:rPr>
          <w:rFonts w:cs="Arial"/>
          <w:bCs/>
        </w:rPr>
        <w:t xml:space="preserve">As part of the contract award, Aareon were to provide a fully integrated, holistic housing management system which covered the main aspects of housing including rents, repairs, assets, tenancy management, anti-social behaviour and case management. Aareon were also required to develop their software to include Choice Based Lettings, Allocations, Homelessness and Housing Options which at the time of the contract award was not within their core system. </w:t>
      </w:r>
    </w:p>
    <w:p w14:paraId="61C39E1A" w14:textId="77777777" w:rsidR="00D5657F" w:rsidRPr="000024CC" w:rsidRDefault="00A95C1D" w:rsidP="005570B5">
      <w:pPr>
        <w:pStyle w:val="ListParagraph"/>
        <w:rPr>
          <w:rFonts w:cs="Arial"/>
        </w:rPr>
      </w:pPr>
      <w:r w:rsidRPr="000024CC">
        <w:rPr>
          <w:rFonts w:cs="Arial"/>
        </w:rPr>
        <w:t>The project benefits include increased efficiency through</w:t>
      </w:r>
      <w:r w:rsidR="0038641E" w:rsidRPr="000024CC">
        <w:rPr>
          <w:rFonts w:cs="Arial"/>
        </w:rPr>
        <w:t xml:space="preserve"> re</w:t>
      </w:r>
      <w:r w:rsidR="00357C60" w:rsidRPr="000024CC">
        <w:rPr>
          <w:rFonts w:cs="Arial"/>
        </w:rPr>
        <w:t>-</w:t>
      </w:r>
      <w:r w:rsidR="0038641E" w:rsidRPr="000024CC">
        <w:rPr>
          <w:rFonts w:cs="Arial"/>
        </w:rPr>
        <w:t>designing</w:t>
      </w:r>
      <w:r w:rsidR="009C492C" w:rsidRPr="000024CC">
        <w:rPr>
          <w:rFonts w:cs="Arial"/>
        </w:rPr>
        <w:t>,</w:t>
      </w:r>
      <w:r w:rsidR="00357C60" w:rsidRPr="000024CC">
        <w:rPr>
          <w:rFonts w:cs="Arial"/>
        </w:rPr>
        <w:t xml:space="preserve"> </w:t>
      </w:r>
      <w:r w:rsidRPr="000024CC">
        <w:rPr>
          <w:rFonts w:cs="Arial"/>
        </w:rPr>
        <w:t xml:space="preserve">streamlining </w:t>
      </w:r>
      <w:r w:rsidR="009C492C" w:rsidRPr="000024CC">
        <w:rPr>
          <w:rFonts w:cs="Arial"/>
        </w:rPr>
        <w:t>and automati</w:t>
      </w:r>
      <w:r w:rsidR="00357C60" w:rsidRPr="000024CC">
        <w:rPr>
          <w:rFonts w:cs="Arial"/>
        </w:rPr>
        <w:t>ng</w:t>
      </w:r>
      <w:r w:rsidR="009C492C" w:rsidRPr="000024CC">
        <w:rPr>
          <w:rFonts w:cs="Arial"/>
        </w:rPr>
        <w:t xml:space="preserve"> </w:t>
      </w:r>
      <w:r w:rsidRPr="000024CC">
        <w:rPr>
          <w:rFonts w:cs="Arial"/>
        </w:rPr>
        <w:t>of processes</w:t>
      </w:r>
      <w:r w:rsidR="00DD39ED" w:rsidRPr="000024CC">
        <w:rPr>
          <w:rFonts w:cs="Arial"/>
        </w:rPr>
        <w:t xml:space="preserve"> and work-flow</w:t>
      </w:r>
      <w:r w:rsidRPr="000024CC">
        <w:rPr>
          <w:rFonts w:cs="Arial"/>
        </w:rPr>
        <w:t xml:space="preserve">, the rationalisation of the software applications currently in use, </w:t>
      </w:r>
      <w:r w:rsidR="0038641E" w:rsidRPr="000024CC">
        <w:rPr>
          <w:rFonts w:cs="Arial"/>
        </w:rPr>
        <w:t>reduction in data-related risk,</w:t>
      </w:r>
      <w:r w:rsidRPr="000024CC">
        <w:rPr>
          <w:rFonts w:cs="Arial"/>
        </w:rPr>
        <w:t xml:space="preserve"> </w:t>
      </w:r>
      <w:r w:rsidR="00A1777C" w:rsidRPr="000024CC">
        <w:rPr>
          <w:rFonts w:cs="Arial"/>
        </w:rPr>
        <w:t>and lower</w:t>
      </w:r>
      <w:r w:rsidRPr="000024CC">
        <w:rPr>
          <w:rFonts w:cs="Arial"/>
        </w:rPr>
        <w:t xml:space="preserve"> cost of ownership for the Council</w:t>
      </w:r>
      <w:r w:rsidR="00DD39ED" w:rsidRPr="000024CC">
        <w:rPr>
          <w:rFonts w:cs="Arial"/>
        </w:rPr>
        <w:t>. It will also provide enhanced planned maintenance programming and scheduling,</w:t>
      </w:r>
      <w:r w:rsidR="009C492C" w:rsidRPr="000024CC">
        <w:rPr>
          <w:rFonts w:cs="Arial"/>
        </w:rPr>
        <w:t xml:space="preserve"> better </w:t>
      </w:r>
      <w:r w:rsidR="00DD39ED" w:rsidRPr="000024CC">
        <w:rPr>
          <w:rFonts w:cs="Arial"/>
        </w:rPr>
        <w:t xml:space="preserve">case management and </w:t>
      </w:r>
      <w:r w:rsidR="009C492C" w:rsidRPr="000024CC">
        <w:rPr>
          <w:rFonts w:cs="Arial"/>
        </w:rPr>
        <w:t>customer care with a mobile workforce across many service areas</w:t>
      </w:r>
      <w:r w:rsidRPr="000024CC">
        <w:rPr>
          <w:rFonts w:cs="Arial"/>
        </w:rPr>
        <w:t xml:space="preserve">. </w:t>
      </w:r>
    </w:p>
    <w:p w14:paraId="28953DA3" w14:textId="77777777" w:rsidR="009C7042" w:rsidRDefault="009C7042" w:rsidP="005570B5">
      <w:pPr>
        <w:pStyle w:val="ListParagraph"/>
        <w:rPr>
          <w:rFonts w:cs="Arial"/>
        </w:rPr>
      </w:pPr>
      <w:r>
        <w:rPr>
          <w:rFonts w:cs="Arial"/>
        </w:rPr>
        <w:t xml:space="preserve">Whilst it is OCC that has </w:t>
      </w:r>
      <w:r w:rsidR="00A54343">
        <w:rPr>
          <w:rFonts w:cs="Arial"/>
        </w:rPr>
        <w:t xml:space="preserve">contracted with Aareon UK Ltd., </w:t>
      </w:r>
      <w:r>
        <w:rPr>
          <w:rFonts w:cs="Arial"/>
        </w:rPr>
        <w:t>ODS will also be adopting the system across their range of both housing and non-housing activities, including external commercial contracts and maintenance of non-housing assets and amenities across the city.</w:t>
      </w:r>
    </w:p>
    <w:p w14:paraId="006A692A" w14:textId="77777777" w:rsidR="009C492C" w:rsidRPr="000024CC" w:rsidRDefault="009C492C" w:rsidP="005570B5">
      <w:pPr>
        <w:pStyle w:val="ListParagraph"/>
        <w:rPr>
          <w:rFonts w:cs="Arial"/>
        </w:rPr>
      </w:pPr>
      <w:r w:rsidRPr="000024CC">
        <w:rPr>
          <w:rFonts w:cs="Arial"/>
        </w:rPr>
        <w:t xml:space="preserve">Additional efficiency and financial benefits to ODS include </w:t>
      </w:r>
      <w:r w:rsidR="00672583">
        <w:rPr>
          <w:rFonts w:cs="Arial"/>
        </w:rPr>
        <w:t>“</w:t>
      </w:r>
      <w:r w:rsidRPr="000024CC">
        <w:rPr>
          <w:rFonts w:cs="Arial"/>
        </w:rPr>
        <w:t>real time</w:t>
      </w:r>
      <w:r w:rsidR="00672583">
        <w:rPr>
          <w:rFonts w:cs="Arial"/>
        </w:rPr>
        <w:t>”</w:t>
      </w:r>
      <w:r w:rsidRPr="000024CC">
        <w:rPr>
          <w:rFonts w:cs="Arial"/>
        </w:rPr>
        <w:t xml:space="preserve"> dynamic resource scheduling with automated stock movement to site through the new stores supplier contract. </w:t>
      </w:r>
      <w:r w:rsidR="009C7042">
        <w:rPr>
          <w:rFonts w:cs="Arial"/>
        </w:rPr>
        <w:t>Efficiencies within the ODS operation support achievement of the ODS Business Plan and the dividend to OCC.</w:t>
      </w:r>
    </w:p>
    <w:p w14:paraId="0D5126A9" w14:textId="77777777" w:rsidR="00A95C1D" w:rsidRPr="000024CC" w:rsidRDefault="00A95C1D" w:rsidP="005570B5">
      <w:pPr>
        <w:pStyle w:val="ListParagraph"/>
        <w:rPr>
          <w:rFonts w:cs="Arial"/>
        </w:rPr>
      </w:pPr>
      <w:r w:rsidRPr="000024CC">
        <w:rPr>
          <w:rFonts w:cs="Arial"/>
        </w:rPr>
        <w:t xml:space="preserve">Benefits to </w:t>
      </w:r>
      <w:r w:rsidR="009C492C" w:rsidRPr="000024CC">
        <w:rPr>
          <w:rFonts w:cs="Arial"/>
        </w:rPr>
        <w:t>customers</w:t>
      </w:r>
      <w:r w:rsidRPr="000024CC">
        <w:rPr>
          <w:rFonts w:cs="Arial"/>
        </w:rPr>
        <w:t xml:space="preserve"> include</w:t>
      </w:r>
      <w:r w:rsidR="0038641E" w:rsidRPr="000024CC">
        <w:rPr>
          <w:rFonts w:cs="Arial"/>
        </w:rPr>
        <w:t xml:space="preserve"> </w:t>
      </w:r>
      <w:r w:rsidR="009C492C" w:rsidRPr="000024CC">
        <w:rPr>
          <w:rFonts w:cs="Arial"/>
        </w:rPr>
        <w:t xml:space="preserve">secure and </w:t>
      </w:r>
      <w:r w:rsidR="0038641E" w:rsidRPr="000024CC">
        <w:rPr>
          <w:rFonts w:cs="Arial"/>
        </w:rPr>
        <w:t xml:space="preserve">improved </w:t>
      </w:r>
      <w:r w:rsidR="009C492C" w:rsidRPr="000024CC">
        <w:rPr>
          <w:rFonts w:cs="Arial"/>
        </w:rPr>
        <w:t xml:space="preserve">reporting and access to information on rent accounts, repairs, on-line applications and two-way communications with </w:t>
      </w:r>
      <w:r w:rsidR="009C7042">
        <w:rPr>
          <w:rFonts w:cs="Arial"/>
        </w:rPr>
        <w:t xml:space="preserve">OCC </w:t>
      </w:r>
      <w:r w:rsidR="009C492C" w:rsidRPr="000024CC">
        <w:rPr>
          <w:rFonts w:cs="Arial"/>
        </w:rPr>
        <w:t xml:space="preserve">customers and service areas through a dedicated customer portal.  </w:t>
      </w:r>
    </w:p>
    <w:p w14:paraId="7D44CFEC" w14:textId="77777777" w:rsidR="0013267D" w:rsidRPr="000024CC" w:rsidRDefault="0013267D" w:rsidP="0013267D">
      <w:pPr>
        <w:pStyle w:val="Heading1"/>
        <w:rPr>
          <w:rFonts w:cs="Arial"/>
        </w:rPr>
      </w:pPr>
      <w:r w:rsidRPr="000024CC">
        <w:rPr>
          <w:rFonts w:cs="Arial"/>
        </w:rPr>
        <w:t>Current position</w:t>
      </w:r>
    </w:p>
    <w:p w14:paraId="53E994B8" w14:textId="77777777" w:rsidR="000024CC" w:rsidRPr="00956AF7" w:rsidRDefault="009D1E51" w:rsidP="00956AF7">
      <w:pPr>
        <w:pStyle w:val="ListParagraph"/>
        <w:rPr>
          <w:rFonts w:cs="Arial"/>
        </w:rPr>
      </w:pPr>
      <w:r w:rsidRPr="000024CC">
        <w:rPr>
          <w:rFonts w:cs="Arial"/>
        </w:rPr>
        <w:t>The original planned go-live date was May 2019</w:t>
      </w:r>
      <w:r w:rsidR="00783D43">
        <w:rPr>
          <w:rFonts w:cs="Arial"/>
        </w:rPr>
        <w:t xml:space="preserve">. </w:t>
      </w:r>
      <w:r w:rsidR="00DD39ED" w:rsidRPr="00956AF7">
        <w:rPr>
          <w:rFonts w:cs="Arial"/>
        </w:rPr>
        <w:t>The most recent planned go-live date was 20 October 2020</w:t>
      </w:r>
      <w:r w:rsidR="00357C60" w:rsidRPr="00956AF7">
        <w:rPr>
          <w:rFonts w:cs="Arial"/>
        </w:rPr>
        <w:t>.</w:t>
      </w:r>
      <w:r w:rsidR="00DD39ED" w:rsidRPr="00956AF7">
        <w:rPr>
          <w:rFonts w:cs="Arial"/>
        </w:rPr>
        <w:t xml:space="preserve"> </w:t>
      </w:r>
      <w:r w:rsidR="00357C60" w:rsidRPr="00956AF7">
        <w:rPr>
          <w:rFonts w:cs="Arial"/>
        </w:rPr>
        <w:t>H</w:t>
      </w:r>
      <w:r w:rsidR="00DD39ED" w:rsidRPr="00956AF7">
        <w:rPr>
          <w:rFonts w:cs="Arial"/>
        </w:rPr>
        <w:t>owever</w:t>
      </w:r>
      <w:r w:rsidR="00DE557C" w:rsidRPr="00956AF7">
        <w:rPr>
          <w:rFonts w:cs="Arial"/>
        </w:rPr>
        <w:t xml:space="preserve">, </w:t>
      </w:r>
      <w:r w:rsidR="00DD39ED" w:rsidRPr="00956AF7">
        <w:rPr>
          <w:rFonts w:cs="Arial"/>
        </w:rPr>
        <w:t xml:space="preserve">having assessed the progress made and residual risks, a decision was made on 6 October 2020 to halt the go-live and </w:t>
      </w:r>
      <w:r w:rsidR="00357C60" w:rsidRPr="00956AF7">
        <w:rPr>
          <w:rFonts w:cs="Arial"/>
        </w:rPr>
        <w:t xml:space="preserve">to </w:t>
      </w:r>
      <w:r w:rsidR="00DD39ED" w:rsidRPr="00956AF7">
        <w:rPr>
          <w:rFonts w:cs="Arial"/>
        </w:rPr>
        <w:t xml:space="preserve">review progress and </w:t>
      </w:r>
      <w:r w:rsidR="00A65BBA" w:rsidRPr="00956AF7">
        <w:rPr>
          <w:rFonts w:cs="Arial"/>
        </w:rPr>
        <w:t xml:space="preserve">the remaining </w:t>
      </w:r>
      <w:r w:rsidR="00956AF7" w:rsidRPr="00956AF7">
        <w:rPr>
          <w:rFonts w:cs="Arial"/>
        </w:rPr>
        <w:t xml:space="preserve">OCC and ODS </w:t>
      </w:r>
      <w:r w:rsidR="00DD39ED" w:rsidRPr="00956AF7">
        <w:rPr>
          <w:rFonts w:cs="Arial"/>
        </w:rPr>
        <w:t>effort required</w:t>
      </w:r>
      <w:r w:rsidR="00956AF7" w:rsidRPr="00956AF7">
        <w:rPr>
          <w:rFonts w:cs="Arial"/>
        </w:rPr>
        <w:t xml:space="preserve"> to complete the project</w:t>
      </w:r>
      <w:r w:rsidR="00DD39ED" w:rsidRPr="00956AF7">
        <w:rPr>
          <w:rFonts w:cs="Arial"/>
        </w:rPr>
        <w:t>.</w:t>
      </w:r>
    </w:p>
    <w:p w14:paraId="42FB425E" w14:textId="77777777" w:rsidR="009672D1" w:rsidRDefault="000024CC" w:rsidP="000024CC">
      <w:pPr>
        <w:pStyle w:val="ListParagraph"/>
        <w:ind w:left="426" w:hanging="426"/>
        <w:rPr>
          <w:rFonts w:cs="Arial"/>
        </w:rPr>
      </w:pPr>
      <w:r w:rsidRPr="000024CC">
        <w:rPr>
          <w:rFonts w:cs="Arial"/>
        </w:rPr>
        <w:t>Th</w:t>
      </w:r>
      <w:r w:rsidR="009672D1" w:rsidRPr="000024CC">
        <w:rPr>
          <w:rFonts w:cs="Arial"/>
        </w:rPr>
        <w:t>e highest risk project elements are Housing Needs, driven by residual data issues, and the Finance Interface (Rents and Repairs), where testing and issue resolution is ongoing.</w:t>
      </w:r>
      <w:r w:rsidRPr="000024CC">
        <w:rPr>
          <w:rFonts w:cs="Arial"/>
        </w:rPr>
        <w:t xml:space="preserve">  The remaining project elements – Incomes, Payments, Tenancy Management, A</w:t>
      </w:r>
      <w:r w:rsidR="009C7042">
        <w:rPr>
          <w:rFonts w:cs="Arial"/>
        </w:rPr>
        <w:t>nti-</w:t>
      </w:r>
      <w:r w:rsidRPr="000024CC">
        <w:rPr>
          <w:rFonts w:cs="Arial"/>
        </w:rPr>
        <w:t>S</w:t>
      </w:r>
      <w:r w:rsidR="009C7042">
        <w:rPr>
          <w:rFonts w:cs="Arial"/>
        </w:rPr>
        <w:t xml:space="preserve">ocial </w:t>
      </w:r>
      <w:r w:rsidRPr="000024CC">
        <w:rPr>
          <w:rFonts w:cs="Arial"/>
        </w:rPr>
        <w:t>B</w:t>
      </w:r>
      <w:r w:rsidR="009C7042">
        <w:rPr>
          <w:rFonts w:cs="Arial"/>
        </w:rPr>
        <w:t xml:space="preserve">ehaviour </w:t>
      </w:r>
      <w:r w:rsidRPr="000024CC">
        <w:rPr>
          <w:rFonts w:cs="Arial"/>
        </w:rPr>
        <w:t>I</w:t>
      </w:r>
      <w:r w:rsidR="009C7042">
        <w:rPr>
          <w:rFonts w:cs="Arial"/>
        </w:rPr>
        <w:t xml:space="preserve">nvestigation </w:t>
      </w:r>
      <w:r w:rsidRPr="000024CC">
        <w:rPr>
          <w:rFonts w:cs="Arial"/>
        </w:rPr>
        <w:t>T</w:t>
      </w:r>
      <w:r w:rsidR="009C7042">
        <w:rPr>
          <w:rFonts w:cs="Arial"/>
        </w:rPr>
        <w:t>eam</w:t>
      </w:r>
      <w:r w:rsidRPr="000024CC">
        <w:rPr>
          <w:rFonts w:cs="Arial"/>
        </w:rPr>
        <w:t xml:space="preserve"> &amp; C</w:t>
      </w:r>
      <w:r w:rsidR="009C7042">
        <w:rPr>
          <w:rFonts w:cs="Arial"/>
        </w:rPr>
        <w:t xml:space="preserve">ommunity </w:t>
      </w:r>
      <w:r w:rsidRPr="000024CC">
        <w:rPr>
          <w:rFonts w:cs="Arial"/>
        </w:rPr>
        <w:t>R</w:t>
      </w:r>
      <w:r w:rsidR="009C7042">
        <w:rPr>
          <w:rFonts w:cs="Arial"/>
        </w:rPr>
        <w:t xml:space="preserve">esponse </w:t>
      </w:r>
      <w:r w:rsidRPr="000024CC">
        <w:rPr>
          <w:rFonts w:cs="Arial"/>
        </w:rPr>
        <w:t>T</w:t>
      </w:r>
      <w:r w:rsidR="009C7042">
        <w:rPr>
          <w:rFonts w:cs="Arial"/>
        </w:rPr>
        <w:t>eam</w:t>
      </w:r>
      <w:r w:rsidRPr="000024CC">
        <w:rPr>
          <w:rFonts w:cs="Arial"/>
        </w:rPr>
        <w:t>, Tenant Involvement, Right to Buy, Property Services, and Repairs are on track for sign-off and present a low risk to project completion.</w:t>
      </w:r>
    </w:p>
    <w:p w14:paraId="46799779" w14:textId="77777777" w:rsidR="000B60E0" w:rsidRPr="000B60E0" w:rsidRDefault="000B60E0" w:rsidP="000B60E0">
      <w:pPr>
        <w:rPr>
          <w:rFonts w:cs="Arial"/>
        </w:rPr>
      </w:pPr>
    </w:p>
    <w:p w14:paraId="41B4D6DF" w14:textId="77777777" w:rsidR="00357C60" w:rsidRPr="000024CC" w:rsidRDefault="00D5657F" w:rsidP="00AA278B">
      <w:pPr>
        <w:pStyle w:val="bParagraphtext"/>
        <w:ind w:left="426" w:hanging="426"/>
        <w:rPr>
          <w:rFonts w:cs="Arial"/>
        </w:rPr>
      </w:pPr>
      <w:r w:rsidRPr="000024CC">
        <w:rPr>
          <w:rFonts w:cs="Arial"/>
        </w:rPr>
        <w:t>The go-live delay</w:t>
      </w:r>
      <w:r w:rsidR="00493D1F" w:rsidRPr="000024CC">
        <w:rPr>
          <w:rFonts w:cs="Arial"/>
        </w:rPr>
        <w:t>s</w:t>
      </w:r>
      <w:r w:rsidRPr="000024CC">
        <w:rPr>
          <w:rFonts w:cs="Arial"/>
        </w:rPr>
        <w:t xml:space="preserve"> </w:t>
      </w:r>
      <w:r w:rsidR="00AA278B" w:rsidRPr="000024CC">
        <w:rPr>
          <w:rFonts w:cs="Arial"/>
        </w:rPr>
        <w:t>are attributable to a number of factors, including</w:t>
      </w:r>
      <w:r w:rsidR="00357C60" w:rsidRPr="000024CC">
        <w:rPr>
          <w:rFonts w:cs="Arial"/>
        </w:rPr>
        <w:t>:</w:t>
      </w:r>
    </w:p>
    <w:p w14:paraId="51A401A7" w14:textId="77777777" w:rsidR="00357C60" w:rsidRPr="000024CC" w:rsidRDefault="00F33DF2" w:rsidP="006A1B53">
      <w:pPr>
        <w:pStyle w:val="bParagraphtext"/>
        <w:numPr>
          <w:ilvl w:val="1"/>
          <w:numId w:val="14"/>
        </w:numPr>
        <w:rPr>
          <w:rFonts w:cs="Arial"/>
        </w:rPr>
      </w:pPr>
      <w:r>
        <w:rPr>
          <w:rFonts w:cs="Arial"/>
        </w:rPr>
        <w:t>D</w:t>
      </w:r>
      <w:r w:rsidR="00956AF7">
        <w:rPr>
          <w:rFonts w:cs="Arial"/>
        </w:rPr>
        <w:t xml:space="preserve">elays and issues in earlier stages of the project </w:t>
      </w:r>
      <w:r w:rsidR="00DB3451">
        <w:rPr>
          <w:rFonts w:cs="Arial"/>
        </w:rPr>
        <w:t xml:space="preserve">related to design of the new software </w:t>
      </w:r>
      <w:r w:rsidR="00956AF7">
        <w:rPr>
          <w:rFonts w:cs="Arial"/>
        </w:rPr>
        <w:t>having a</w:t>
      </w:r>
      <w:r w:rsidR="00DE557C" w:rsidRPr="000024CC">
        <w:rPr>
          <w:rFonts w:cs="Arial"/>
        </w:rPr>
        <w:t xml:space="preserve"> knock-on effect </w:t>
      </w:r>
      <w:r w:rsidR="000B60E0">
        <w:rPr>
          <w:rFonts w:cs="Arial"/>
        </w:rPr>
        <w:t>to</w:t>
      </w:r>
      <w:r w:rsidR="00DE557C" w:rsidRPr="000024CC">
        <w:rPr>
          <w:rFonts w:cs="Arial"/>
        </w:rPr>
        <w:t xml:space="preserve"> later phases of delivery. In particular, this </w:t>
      </w:r>
      <w:r w:rsidR="000B60E0">
        <w:rPr>
          <w:rFonts w:cs="Arial"/>
        </w:rPr>
        <w:t xml:space="preserve">has been </w:t>
      </w:r>
      <w:r w:rsidR="00DE557C" w:rsidRPr="000024CC">
        <w:rPr>
          <w:rFonts w:cs="Arial"/>
        </w:rPr>
        <w:t xml:space="preserve">manifested </w:t>
      </w:r>
      <w:r w:rsidR="000B60E0">
        <w:rPr>
          <w:rFonts w:cs="Arial"/>
        </w:rPr>
        <w:t>with</w:t>
      </w:r>
      <w:r w:rsidR="00DE557C" w:rsidRPr="000024CC">
        <w:rPr>
          <w:rFonts w:cs="Arial"/>
        </w:rPr>
        <w:t xml:space="preserve"> the considerable time colleagues spent on </w:t>
      </w:r>
      <w:r w:rsidR="00DE557C" w:rsidRPr="000024CC">
        <w:rPr>
          <w:rFonts w:cs="Arial"/>
        </w:rPr>
        <w:lastRenderedPageBreak/>
        <w:t>testing and re-testing elements that did not work</w:t>
      </w:r>
      <w:r w:rsidR="00337998" w:rsidRPr="000024CC">
        <w:rPr>
          <w:rFonts w:cs="Arial"/>
        </w:rPr>
        <w:t xml:space="preserve"> and were later deferred, detracting from time on other core activities, and consuming the capacity available to </w:t>
      </w:r>
      <w:r w:rsidR="001C4CA5">
        <w:rPr>
          <w:rFonts w:cs="Arial"/>
        </w:rPr>
        <w:t>be able to</w:t>
      </w:r>
      <w:r w:rsidR="00532368">
        <w:rPr>
          <w:rFonts w:cs="Arial"/>
        </w:rPr>
        <w:t xml:space="preserve"> </w:t>
      </w:r>
      <w:r w:rsidR="001C4CA5">
        <w:rPr>
          <w:rFonts w:cs="Arial"/>
        </w:rPr>
        <w:t>achieve</w:t>
      </w:r>
      <w:r w:rsidR="00337998" w:rsidRPr="000024CC">
        <w:rPr>
          <w:rFonts w:cs="Arial"/>
        </w:rPr>
        <w:t xml:space="preserve"> planned progress.</w:t>
      </w:r>
    </w:p>
    <w:p w14:paraId="1BE038F0" w14:textId="77777777" w:rsidR="00357C60" w:rsidRPr="000024CC" w:rsidRDefault="00DB3451" w:rsidP="006A1B53">
      <w:pPr>
        <w:pStyle w:val="bParagraphtext"/>
        <w:numPr>
          <w:ilvl w:val="1"/>
          <w:numId w:val="14"/>
        </w:numPr>
        <w:rPr>
          <w:rFonts w:cs="Arial"/>
        </w:rPr>
      </w:pPr>
      <w:r>
        <w:rPr>
          <w:rFonts w:cs="Arial"/>
        </w:rPr>
        <w:t>A</w:t>
      </w:r>
      <w:r w:rsidR="00337998" w:rsidRPr="000024CC">
        <w:rPr>
          <w:rFonts w:cs="Arial"/>
        </w:rPr>
        <w:t>n evolving understanding of essential operating requirements</w:t>
      </w:r>
      <w:r>
        <w:rPr>
          <w:rFonts w:cs="Arial"/>
        </w:rPr>
        <w:t xml:space="preserve"> during development of the project</w:t>
      </w:r>
      <w:r w:rsidR="00337998" w:rsidRPr="000024CC">
        <w:rPr>
          <w:rFonts w:cs="Arial"/>
        </w:rPr>
        <w:t>, particularly for ODS commercial work,</w:t>
      </w:r>
      <w:r w:rsidR="00D5657F" w:rsidRPr="000024CC">
        <w:rPr>
          <w:rFonts w:cs="Arial"/>
        </w:rPr>
        <w:t xml:space="preserve"> </w:t>
      </w:r>
      <w:r>
        <w:rPr>
          <w:rFonts w:cs="Arial"/>
        </w:rPr>
        <w:t xml:space="preserve">necessitated changes in requirements to the project in order to maximise benefits, </w:t>
      </w:r>
      <w:r w:rsidR="00D5657F" w:rsidRPr="000024CC">
        <w:rPr>
          <w:rFonts w:cs="Arial"/>
        </w:rPr>
        <w:t>leadi</w:t>
      </w:r>
      <w:r w:rsidR="00AA278B" w:rsidRPr="000024CC">
        <w:rPr>
          <w:rFonts w:cs="Arial"/>
        </w:rPr>
        <w:t>ng to insufficient testing time</w:t>
      </w:r>
      <w:r w:rsidR="00DE557C" w:rsidRPr="000024CC">
        <w:rPr>
          <w:rFonts w:cs="Arial"/>
        </w:rPr>
        <w:t xml:space="preserve"> for new elements and late discovery of issues.</w:t>
      </w:r>
    </w:p>
    <w:p w14:paraId="03F51DCB" w14:textId="77777777" w:rsidR="00DE557C" w:rsidRPr="000024CC" w:rsidRDefault="00DE557C" w:rsidP="006A1B53">
      <w:pPr>
        <w:pStyle w:val="bParagraphtext"/>
        <w:numPr>
          <w:ilvl w:val="1"/>
          <w:numId w:val="14"/>
        </w:numPr>
        <w:rPr>
          <w:rFonts w:cs="Arial"/>
        </w:rPr>
      </w:pPr>
      <w:r w:rsidRPr="000024CC">
        <w:rPr>
          <w:rFonts w:cs="Arial"/>
        </w:rPr>
        <w:t>O</w:t>
      </w:r>
      <w:r w:rsidR="00D5657F" w:rsidRPr="000024CC">
        <w:rPr>
          <w:rFonts w:cs="Arial"/>
        </w:rPr>
        <w:t>ngoing data quality issues</w:t>
      </w:r>
      <w:r w:rsidR="00337998" w:rsidRPr="000024CC">
        <w:rPr>
          <w:rFonts w:cs="Arial"/>
        </w:rPr>
        <w:t xml:space="preserve"> affected project progress</w:t>
      </w:r>
      <w:r w:rsidRPr="000024CC">
        <w:rPr>
          <w:rFonts w:cs="Arial"/>
        </w:rPr>
        <w:t xml:space="preserve"> as a result of the </w:t>
      </w:r>
      <w:r w:rsidR="00337998" w:rsidRPr="000024CC">
        <w:rPr>
          <w:rFonts w:cs="Arial"/>
        </w:rPr>
        <w:t>variety of legacy data sources. Such issues are time-consuming to resolve and depend</w:t>
      </w:r>
      <w:r w:rsidR="003C19A7" w:rsidRPr="000024CC">
        <w:rPr>
          <w:rFonts w:cs="Arial"/>
        </w:rPr>
        <w:t xml:space="preserve"> on the availability of scarce service resources (see d below).</w:t>
      </w:r>
    </w:p>
    <w:p w14:paraId="6D84969C" w14:textId="77777777" w:rsidR="00D5657F" w:rsidRDefault="00DB3451" w:rsidP="006A1B53">
      <w:pPr>
        <w:pStyle w:val="bParagraphtext"/>
        <w:numPr>
          <w:ilvl w:val="1"/>
          <w:numId w:val="14"/>
        </w:numPr>
        <w:rPr>
          <w:rFonts w:cs="Arial"/>
        </w:rPr>
      </w:pPr>
      <w:r>
        <w:rPr>
          <w:rFonts w:cs="Arial"/>
        </w:rPr>
        <w:t>C</w:t>
      </w:r>
      <w:r w:rsidR="00DE557C" w:rsidRPr="000024CC">
        <w:rPr>
          <w:rFonts w:cs="Arial"/>
        </w:rPr>
        <w:t xml:space="preserve">ompeting demands of business as usual and project work, exacerbated by the Covid-19 response </w:t>
      </w:r>
      <w:r w:rsidR="00A54343">
        <w:rPr>
          <w:rFonts w:cs="Arial"/>
        </w:rPr>
        <w:t>in early 2020</w:t>
      </w:r>
      <w:r w:rsidR="00DE557C" w:rsidRPr="000024CC">
        <w:rPr>
          <w:rFonts w:cs="Arial"/>
        </w:rPr>
        <w:t>, which saw many key project contributors</w:t>
      </w:r>
      <w:r w:rsidR="009C7042">
        <w:rPr>
          <w:rFonts w:cs="Arial"/>
        </w:rPr>
        <w:t xml:space="preserve"> from OCC and ODS</w:t>
      </w:r>
      <w:r w:rsidR="00DE557C" w:rsidRPr="000024CC">
        <w:rPr>
          <w:rFonts w:cs="Arial"/>
        </w:rPr>
        <w:t xml:space="preserve"> either furloughed or redeployed to other priority tasks</w:t>
      </w:r>
      <w:r>
        <w:rPr>
          <w:rFonts w:cs="Arial"/>
        </w:rPr>
        <w:t>, meant that key service resources where constrained during a critical time for the project</w:t>
      </w:r>
    </w:p>
    <w:p w14:paraId="1292E2C6" w14:textId="77777777" w:rsidR="00B944B3" w:rsidRPr="000024CC" w:rsidRDefault="00B944B3" w:rsidP="006A1B53">
      <w:pPr>
        <w:pStyle w:val="bParagraphtext"/>
        <w:numPr>
          <w:ilvl w:val="1"/>
          <w:numId w:val="14"/>
        </w:numPr>
        <w:rPr>
          <w:rFonts w:cs="Arial"/>
        </w:rPr>
      </w:pPr>
      <w:r>
        <w:rPr>
          <w:rFonts w:cs="Arial"/>
        </w:rPr>
        <w:t>The disruptive impact of remote working during the first wave of Covid-19 impacted timelines as colleagues adjusted to new ways of working and acquired the tools they needed to be effective. This included an additional server set-up to run Remote Desktop and access the system efficiently.</w:t>
      </w:r>
    </w:p>
    <w:p w14:paraId="28128266" w14:textId="77777777" w:rsidR="0096105B" w:rsidRPr="000024CC" w:rsidRDefault="000B60E0" w:rsidP="0096105B">
      <w:pPr>
        <w:pStyle w:val="Heading1"/>
        <w:rPr>
          <w:rFonts w:cs="Arial"/>
        </w:rPr>
      </w:pPr>
      <w:r>
        <w:rPr>
          <w:rFonts w:cs="Arial"/>
        </w:rPr>
        <w:t xml:space="preserve"> Project r</w:t>
      </w:r>
      <w:r w:rsidR="0096105B" w:rsidRPr="000024CC">
        <w:rPr>
          <w:rFonts w:cs="Arial"/>
        </w:rPr>
        <w:t>eview</w:t>
      </w:r>
    </w:p>
    <w:p w14:paraId="69214CEF" w14:textId="77777777" w:rsidR="00D5657F" w:rsidRPr="000024CC" w:rsidRDefault="00D5657F" w:rsidP="00D5657F">
      <w:pPr>
        <w:pStyle w:val="ListParagraph"/>
        <w:rPr>
          <w:rFonts w:cs="Arial"/>
        </w:rPr>
      </w:pPr>
      <w:r w:rsidRPr="000024CC">
        <w:rPr>
          <w:rFonts w:cs="Arial"/>
        </w:rPr>
        <w:t>The Project Board engaged the ODS PMO Manager</w:t>
      </w:r>
      <w:r w:rsidR="00306278">
        <w:rPr>
          <w:rFonts w:cs="Arial"/>
        </w:rPr>
        <w:t xml:space="preserve"> in October 2020</w:t>
      </w:r>
      <w:r w:rsidRPr="000024CC">
        <w:rPr>
          <w:rFonts w:cs="Arial"/>
        </w:rPr>
        <w:t xml:space="preserve"> to undertake a holistic review of the project. The objective was</w:t>
      </w:r>
      <w:r w:rsidR="00CE2E52" w:rsidRPr="000024CC">
        <w:rPr>
          <w:rFonts w:cs="Arial"/>
        </w:rPr>
        <w:t xml:space="preserve"> </w:t>
      </w:r>
      <w:r w:rsidRPr="000024CC">
        <w:rPr>
          <w:rFonts w:cs="Arial"/>
        </w:rPr>
        <w:t>to achie</w:t>
      </w:r>
      <w:r w:rsidR="00D41CED" w:rsidRPr="000024CC">
        <w:rPr>
          <w:rFonts w:cs="Arial"/>
        </w:rPr>
        <w:t>ve a realistic timeline that had</w:t>
      </w:r>
      <w:r w:rsidRPr="000024CC">
        <w:rPr>
          <w:rFonts w:cs="Arial"/>
        </w:rPr>
        <w:t xml:space="preserve"> buy-in from all stakeholders. To achieve this, the re-plan </w:t>
      </w:r>
      <w:r w:rsidR="00D41CED" w:rsidRPr="000024CC">
        <w:rPr>
          <w:rFonts w:cs="Arial"/>
        </w:rPr>
        <w:t>was a</w:t>
      </w:r>
      <w:r w:rsidRPr="000024CC">
        <w:rPr>
          <w:rFonts w:cs="Arial"/>
        </w:rPr>
        <w:t>pproached on two levels:</w:t>
      </w:r>
    </w:p>
    <w:p w14:paraId="3D914A69" w14:textId="77777777" w:rsidR="00D5657F" w:rsidRPr="000024CC" w:rsidRDefault="00D41CED" w:rsidP="00D5657F">
      <w:pPr>
        <w:pStyle w:val="ListParagraph"/>
        <w:numPr>
          <w:ilvl w:val="1"/>
          <w:numId w:val="14"/>
        </w:numPr>
        <w:rPr>
          <w:rFonts w:cs="Arial"/>
        </w:rPr>
      </w:pPr>
      <w:r w:rsidRPr="000024CC">
        <w:rPr>
          <w:rFonts w:cs="Arial"/>
        </w:rPr>
        <w:t>Detailed ‘from the ground up’</w:t>
      </w:r>
      <w:r w:rsidR="00D5657F" w:rsidRPr="000024CC">
        <w:rPr>
          <w:rFonts w:cs="Arial"/>
        </w:rPr>
        <w:t xml:space="preserve"> review of remaining tasks and open issues to resolve before go-live (concerning both system and business readiness), plus the specific </w:t>
      </w:r>
      <w:r w:rsidRPr="000024CC">
        <w:rPr>
          <w:rFonts w:cs="Arial"/>
        </w:rPr>
        <w:t>level of effort and</w:t>
      </w:r>
      <w:r w:rsidR="00D5657F" w:rsidRPr="000024CC">
        <w:rPr>
          <w:rFonts w:cs="Arial"/>
        </w:rPr>
        <w:t xml:space="preserve"> resources required. </w:t>
      </w:r>
    </w:p>
    <w:p w14:paraId="09E072F8" w14:textId="77777777" w:rsidR="00044E2A" w:rsidRDefault="00956AF7" w:rsidP="00044E2A">
      <w:pPr>
        <w:pStyle w:val="ListParagraph"/>
        <w:numPr>
          <w:ilvl w:val="1"/>
          <w:numId w:val="14"/>
        </w:numPr>
        <w:rPr>
          <w:rFonts w:cs="Arial"/>
        </w:rPr>
      </w:pPr>
      <w:r w:rsidRPr="000024CC">
        <w:rPr>
          <w:rFonts w:cs="Arial"/>
        </w:rPr>
        <w:t>Top-down sequencing in context of the wider business calendar (e.g. year-end) and ICT/Business project portfolio.</w:t>
      </w:r>
    </w:p>
    <w:p w14:paraId="02A738E3" w14:textId="77777777" w:rsidR="00044E2A" w:rsidRPr="00044E2A" w:rsidRDefault="00044E2A" w:rsidP="00044E2A">
      <w:pPr>
        <w:rPr>
          <w:rFonts w:cs="Arial"/>
        </w:rPr>
      </w:pPr>
    </w:p>
    <w:p w14:paraId="643E170F" w14:textId="77777777" w:rsidR="00C527D7" w:rsidRDefault="00D41CED" w:rsidP="00956AF7">
      <w:pPr>
        <w:pStyle w:val="ListParagraph"/>
      </w:pPr>
      <w:r w:rsidRPr="00956AF7">
        <w:t>As a result of this exercise, it was concluded that the</w:t>
      </w:r>
      <w:r w:rsidR="00CE2E52" w:rsidRPr="00956AF7">
        <w:t xml:space="preserve"> most suitable date for go-live would</w:t>
      </w:r>
      <w:r w:rsidRPr="00956AF7">
        <w:t xml:space="preserve"> be in May 2021.</w:t>
      </w:r>
      <w:r w:rsidR="008A3A2B" w:rsidRPr="00956AF7">
        <w:t xml:space="preserve"> </w:t>
      </w:r>
      <w:r w:rsidRPr="00956AF7">
        <w:t xml:space="preserve">This option has been agreed by the </w:t>
      </w:r>
      <w:r w:rsidR="008A3A2B" w:rsidRPr="00956AF7">
        <w:t xml:space="preserve">Project Board on the basis that it </w:t>
      </w:r>
      <w:r w:rsidRPr="00956AF7">
        <w:t>ensures sufficient time to complete remaining work, and that avoids introducing a major new corporate system during peak periods of activity in the last quarter of the financial year.</w:t>
      </w:r>
      <w:r w:rsidR="00357C60" w:rsidRPr="00956AF7">
        <w:t xml:space="preserve"> Critical milestones that must be achieved in order that the plan remains on</w:t>
      </w:r>
      <w:r w:rsidR="008F5990" w:rsidRPr="00956AF7">
        <w:t xml:space="preserve"> track are summarised below.</w:t>
      </w:r>
      <w:r w:rsidR="00357C60" w:rsidRPr="00956AF7">
        <w:t xml:space="preserve"> </w:t>
      </w:r>
    </w:p>
    <w:p w14:paraId="3D0775F1" w14:textId="77777777" w:rsidR="000B60E0" w:rsidRDefault="000B60E0" w:rsidP="000B60E0"/>
    <w:p w14:paraId="624460B6" w14:textId="77777777" w:rsidR="000B60E0" w:rsidRPr="00956AF7" w:rsidRDefault="000B60E0" w:rsidP="000B60E0"/>
    <w:p w14:paraId="743F0EDD" w14:textId="77777777" w:rsidR="00956AF7" w:rsidRDefault="00956AF7" w:rsidP="006A1B53">
      <w:pPr>
        <w:pStyle w:val="ListParagraph"/>
        <w:numPr>
          <w:ilvl w:val="0"/>
          <w:numId w:val="0"/>
        </w:numPr>
        <w:ind w:left="360"/>
        <w:rPr>
          <w:rFonts w:cs="Arial"/>
        </w:rPr>
      </w:pPr>
    </w:p>
    <w:p w14:paraId="322A31F1" w14:textId="77777777" w:rsidR="00306278" w:rsidRDefault="00306278" w:rsidP="006A1B53">
      <w:pPr>
        <w:pStyle w:val="ListParagraph"/>
        <w:numPr>
          <w:ilvl w:val="0"/>
          <w:numId w:val="0"/>
        </w:numPr>
        <w:ind w:left="360"/>
        <w:rPr>
          <w:rFonts w:cs="Arial"/>
        </w:rPr>
      </w:pPr>
    </w:p>
    <w:p w14:paraId="17CAB58F" w14:textId="77777777" w:rsidR="00306278" w:rsidRDefault="00306278" w:rsidP="006A1B53">
      <w:pPr>
        <w:pStyle w:val="ListParagraph"/>
        <w:numPr>
          <w:ilvl w:val="0"/>
          <w:numId w:val="0"/>
        </w:numPr>
        <w:ind w:left="360"/>
        <w:rPr>
          <w:rFonts w:cs="Arial"/>
        </w:rPr>
      </w:pPr>
    </w:p>
    <w:p w14:paraId="4B7F8579" w14:textId="77777777" w:rsidR="00384E5D" w:rsidRPr="000024CC" w:rsidRDefault="00384E5D" w:rsidP="006A1B53">
      <w:pPr>
        <w:pStyle w:val="ListParagraph"/>
        <w:numPr>
          <w:ilvl w:val="0"/>
          <w:numId w:val="0"/>
        </w:numPr>
        <w:ind w:left="360"/>
        <w:rPr>
          <w:rFonts w:cs="Arial"/>
        </w:rPr>
      </w:pPr>
    </w:p>
    <w:tbl>
      <w:tblPr>
        <w:tblStyle w:val="TableGrid"/>
        <w:tblW w:w="0" w:type="auto"/>
        <w:tblLook w:val="04A0" w:firstRow="1" w:lastRow="0" w:firstColumn="1" w:lastColumn="0" w:noHBand="0" w:noVBand="1"/>
      </w:tblPr>
      <w:tblGrid>
        <w:gridCol w:w="3681"/>
        <w:gridCol w:w="5607"/>
      </w:tblGrid>
      <w:tr w:rsidR="00C527D7" w:rsidRPr="000024CC" w14:paraId="37F72968" w14:textId="77777777" w:rsidTr="006A1B53">
        <w:tc>
          <w:tcPr>
            <w:tcW w:w="3681" w:type="dxa"/>
          </w:tcPr>
          <w:p w14:paraId="56A3DB9B" w14:textId="3A6A9A43" w:rsidR="00C527D7" w:rsidRPr="000024CC" w:rsidRDefault="00C527D7" w:rsidP="00C527D7">
            <w:pPr>
              <w:rPr>
                <w:rFonts w:cs="Arial"/>
                <w:b/>
              </w:rPr>
            </w:pPr>
            <w:r w:rsidRPr="000024CC">
              <w:rPr>
                <w:rFonts w:cs="Arial"/>
                <w:b/>
              </w:rPr>
              <w:lastRenderedPageBreak/>
              <w:t>Milestone date</w:t>
            </w:r>
          </w:p>
        </w:tc>
        <w:tc>
          <w:tcPr>
            <w:tcW w:w="5607" w:type="dxa"/>
          </w:tcPr>
          <w:p w14:paraId="672CAD09" w14:textId="77777777" w:rsidR="00C527D7" w:rsidRPr="000024CC" w:rsidRDefault="00C527D7" w:rsidP="00C527D7">
            <w:pPr>
              <w:rPr>
                <w:rFonts w:cs="Arial"/>
                <w:b/>
              </w:rPr>
            </w:pPr>
            <w:r w:rsidRPr="000024CC">
              <w:rPr>
                <w:rFonts w:cs="Arial"/>
                <w:b/>
              </w:rPr>
              <w:t>Description</w:t>
            </w:r>
          </w:p>
        </w:tc>
      </w:tr>
      <w:tr w:rsidR="00C527D7" w:rsidRPr="000024CC" w14:paraId="4418D76E" w14:textId="77777777" w:rsidTr="006A1B53">
        <w:tc>
          <w:tcPr>
            <w:tcW w:w="3681" w:type="dxa"/>
          </w:tcPr>
          <w:p w14:paraId="1FFC4D48" w14:textId="77777777" w:rsidR="00C527D7" w:rsidRPr="000024CC" w:rsidRDefault="00C527D7" w:rsidP="00306278">
            <w:pPr>
              <w:rPr>
                <w:rFonts w:cs="Arial"/>
              </w:rPr>
            </w:pPr>
            <w:r w:rsidRPr="000024CC">
              <w:rPr>
                <w:rFonts w:cs="Arial"/>
              </w:rPr>
              <w:t xml:space="preserve">November – </w:t>
            </w:r>
            <w:r w:rsidR="00306278">
              <w:rPr>
                <w:rFonts w:cs="Arial"/>
              </w:rPr>
              <w:t>February</w:t>
            </w:r>
            <w:r w:rsidRPr="000024CC">
              <w:rPr>
                <w:rFonts w:cs="Arial"/>
              </w:rPr>
              <w:t xml:space="preserve"> 2020</w:t>
            </w:r>
          </w:p>
        </w:tc>
        <w:tc>
          <w:tcPr>
            <w:tcW w:w="5607" w:type="dxa"/>
          </w:tcPr>
          <w:p w14:paraId="2D2D761C" w14:textId="77777777" w:rsidR="00C527D7" w:rsidRPr="000024CC" w:rsidRDefault="00C45271" w:rsidP="00C527D7">
            <w:pPr>
              <w:rPr>
                <w:rFonts w:cs="Arial"/>
              </w:rPr>
            </w:pPr>
            <w:r w:rsidRPr="000024CC">
              <w:rPr>
                <w:rFonts w:cs="Arial"/>
              </w:rPr>
              <w:t>Complete scenario and interface testing</w:t>
            </w:r>
          </w:p>
        </w:tc>
      </w:tr>
      <w:tr w:rsidR="00C527D7" w:rsidRPr="000024CC" w14:paraId="7407735F" w14:textId="77777777" w:rsidTr="006A1B53">
        <w:tc>
          <w:tcPr>
            <w:tcW w:w="3681" w:type="dxa"/>
          </w:tcPr>
          <w:p w14:paraId="080D66D7" w14:textId="77777777" w:rsidR="00C527D7" w:rsidRPr="000024CC" w:rsidRDefault="00FC1863" w:rsidP="00C527D7">
            <w:pPr>
              <w:rPr>
                <w:rFonts w:cs="Arial"/>
              </w:rPr>
            </w:pPr>
            <w:r w:rsidRPr="000024CC">
              <w:rPr>
                <w:rFonts w:cs="Arial"/>
              </w:rPr>
              <w:t xml:space="preserve">January - </w:t>
            </w:r>
            <w:r w:rsidR="00C527D7" w:rsidRPr="000024CC">
              <w:rPr>
                <w:rFonts w:cs="Arial"/>
              </w:rPr>
              <w:t>March 2021</w:t>
            </w:r>
          </w:p>
        </w:tc>
        <w:tc>
          <w:tcPr>
            <w:tcW w:w="5607" w:type="dxa"/>
          </w:tcPr>
          <w:p w14:paraId="052EEB59" w14:textId="77777777" w:rsidR="00C527D7" w:rsidRPr="000024CC" w:rsidRDefault="00FC1863" w:rsidP="006A1B53">
            <w:pPr>
              <w:rPr>
                <w:rFonts w:cs="Arial"/>
              </w:rPr>
            </w:pPr>
            <w:r w:rsidRPr="000024CC">
              <w:rPr>
                <w:rFonts w:cs="Arial"/>
              </w:rPr>
              <w:t>Preparations for t</w:t>
            </w:r>
            <w:r w:rsidR="00C527D7" w:rsidRPr="000024CC">
              <w:rPr>
                <w:rFonts w:cs="Arial"/>
              </w:rPr>
              <w:t xml:space="preserve">rial go-live to test go-live procedures </w:t>
            </w:r>
          </w:p>
        </w:tc>
      </w:tr>
      <w:tr w:rsidR="00C527D7" w:rsidRPr="000024CC" w14:paraId="4BDC0C1A" w14:textId="77777777" w:rsidTr="006A1B53">
        <w:tc>
          <w:tcPr>
            <w:tcW w:w="3681" w:type="dxa"/>
          </w:tcPr>
          <w:p w14:paraId="5CE1ECA2" w14:textId="77777777" w:rsidR="00C527D7" w:rsidRPr="000024CC" w:rsidRDefault="00F5539C" w:rsidP="00C527D7">
            <w:pPr>
              <w:rPr>
                <w:rFonts w:cs="Arial"/>
              </w:rPr>
            </w:pPr>
            <w:r w:rsidRPr="000024CC">
              <w:rPr>
                <w:rFonts w:cs="Arial"/>
              </w:rPr>
              <w:t>March</w:t>
            </w:r>
            <w:r w:rsidR="00C527D7" w:rsidRPr="000024CC">
              <w:rPr>
                <w:rFonts w:cs="Arial"/>
              </w:rPr>
              <w:t xml:space="preserve"> – May 2021</w:t>
            </w:r>
          </w:p>
        </w:tc>
        <w:tc>
          <w:tcPr>
            <w:tcW w:w="5607" w:type="dxa"/>
          </w:tcPr>
          <w:p w14:paraId="623FFD0F" w14:textId="77777777" w:rsidR="00C527D7" w:rsidRPr="000024CC" w:rsidRDefault="00C527D7" w:rsidP="00C527D7">
            <w:pPr>
              <w:rPr>
                <w:rFonts w:cs="Arial"/>
              </w:rPr>
            </w:pPr>
            <w:r w:rsidRPr="000024CC">
              <w:rPr>
                <w:rFonts w:cs="Arial"/>
              </w:rPr>
              <w:t>Refresher training for impacted staff</w:t>
            </w:r>
          </w:p>
        </w:tc>
      </w:tr>
      <w:tr w:rsidR="00C527D7" w:rsidRPr="000024CC" w14:paraId="3E4E219C" w14:textId="77777777" w:rsidTr="006A1B53">
        <w:tc>
          <w:tcPr>
            <w:tcW w:w="3681" w:type="dxa"/>
          </w:tcPr>
          <w:p w14:paraId="53C9319D" w14:textId="77777777" w:rsidR="00C527D7" w:rsidRPr="000024CC" w:rsidRDefault="00C527D7" w:rsidP="00C527D7">
            <w:pPr>
              <w:rPr>
                <w:rFonts w:cs="Arial"/>
              </w:rPr>
            </w:pPr>
            <w:r w:rsidRPr="000024CC">
              <w:rPr>
                <w:rFonts w:cs="Arial"/>
              </w:rPr>
              <w:t>May 2021</w:t>
            </w:r>
          </w:p>
        </w:tc>
        <w:tc>
          <w:tcPr>
            <w:tcW w:w="5607" w:type="dxa"/>
          </w:tcPr>
          <w:p w14:paraId="68812AA6" w14:textId="77777777" w:rsidR="00C527D7" w:rsidRPr="000024CC" w:rsidRDefault="00C527D7" w:rsidP="00C527D7">
            <w:pPr>
              <w:rPr>
                <w:rFonts w:cs="Arial"/>
              </w:rPr>
            </w:pPr>
            <w:r w:rsidRPr="000024CC">
              <w:rPr>
                <w:rFonts w:cs="Arial"/>
              </w:rPr>
              <w:t>Business go-live</w:t>
            </w:r>
          </w:p>
        </w:tc>
      </w:tr>
    </w:tbl>
    <w:p w14:paraId="566C2873" w14:textId="77777777" w:rsidR="00C527D7" w:rsidRPr="000024CC" w:rsidRDefault="00C527D7" w:rsidP="006A1B53">
      <w:pPr>
        <w:rPr>
          <w:rFonts w:cs="Arial"/>
        </w:rPr>
      </w:pPr>
    </w:p>
    <w:p w14:paraId="0E58A842" w14:textId="77777777" w:rsidR="000024CC" w:rsidRDefault="005348A0" w:rsidP="006A1B53">
      <w:pPr>
        <w:pStyle w:val="ListParagraph"/>
        <w:rPr>
          <w:rFonts w:cs="Arial"/>
        </w:rPr>
      </w:pPr>
      <w:r w:rsidRPr="000024CC">
        <w:rPr>
          <w:rFonts w:cs="Arial"/>
        </w:rPr>
        <w:t>Other options considered and discounted included a pre-Christmas go-live, an unrealistic timeline due to volum</w:t>
      </w:r>
      <w:r w:rsidR="008A3A2B" w:rsidRPr="000024CC">
        <w:rPr>
          <w:rFonts w:cs="Arial"/>
        </w:rPr>
        <w:t xml:space="preserve">e of remaining work to complete, and a Q4 go-live. The latter option offered </w:t>
      </w:r>
      <w:r w:rsidRPr="000024CC">
        <w:rPr>
          <w:rFonts w:cs="Arial"/>
        </w:rPr>
        <w:t>no contingency to cope with un</w:t>
      </w:r>
      <w:r w:rsidR="008A3A2B" w:rsidRPr="000024CC">
        <w:rPr>
          <w:rFonts w:cs="Arial"/>
        </w:rPr>
        <w:t>foreseen</w:t>
      </w:r>
      <w:r w:rsidRPr="000024CC">
        <w:rPr>
          <w:rFonts w:cs="Arial"/>
        </w:rPr>
        <w:t xml:space="preserve"> issues or the impact of resourcing conflicts with other projects. As noted above, there would also have been significant operational risk associated with introducing a major new corporate system into business use during a peak </w:t>
      </w:r>
      <w:r w:rsidR="00306278">
        <w:rPr>
          <w:rFonts w:cs="Arial"/>
        </w:rPr>
        <w:t xml:space="preserve">year-end financial </w:t>
      </w:r>
      <w:r w:rsidRPr="000024CC">
        <w:rPr>
          <w:rFonts w:cs="Arial"/>
        </w:rPr>
        <w:t>period</w:t>
      </w:r>
      <w:r w:rsidR="00306278">
        <w:rPr>
          <w:rFonts w:cs="Arial"/>
        </w:rPr>
        <w:t>.</w:t>
      </w:r>
    </w:p>
    <w:p w14:paraId="7A3BB5B4" w14:textId="77777777" w:rsidR="000024CC" w:rsidRPr="000024CC" w:rsidRDefault="000024CC" w:rsidP="000024CC">
      <w:pPr>
        <w:ind w:left="360" w:hanging="360"/>
        <w:rPr>
          <w:rFonts w:cs="Arial"/>
          <w:b/>
        </w:rPr>
      </w:pPr>
      <w:r>
        <w:rPr>
          <w:rFonts w:cs="Arial"/>
          <w:b/>
        </w:rPr>
        <w:t>Financial Implications</w:t>
      </w:r>
    </w:p>
    <w:p w14:paraId="5FB6B067" w14:textId="77777777" w:rsidR="00A01811" w:rsidRDefault="00A01811" w:rsidP="006A1B53">
      <w:pPr>
        <w:pStyle w:val="ListParagraph"/>
        <w:rPr>
          <w:rFonts w:cs="Arial"/>
        </w:rPr>
      </w:pPr>
      <w:r w:rsidRPr="000024CC">
        <w:rPr>
          <w:rFonts w:cs="Arial"/>
        </w:rPr>
        <w:t>The approved total budget for t</w:t>
      </w:r>
      <w:r w:rsidR="00A72B22" w:rsidRPr="000024CC">
        <w:rPr>
          <w:rFonts w:cs="Arial"/>
        </w:rPr>
        <w:t>his project is £</w:t>
      </w:r>
      <w:r w:rsidR="00114ACF">
        <w:rPr>
          <w:rFonts w:cs="Arial"/>
        </w:rPr>
        <w:t>2.023</w:t>
      </w:r>
      <w:r w:rsidR="00A72B22" w:rsidRPr="000024CC">
        <w:rPr>
          <w:rFonts w:cs="Arial"/>
        </w:rPr>
        <w:t>m,</w:t>
      </w:r>
      <w:r w:rsidR="000024CC">
        <w:rPr>
          <w:rFonts w:cs="Arial"/>
        </w:rPr>
        <w:t xml:space="preserve"> authorised</w:t>
      </w:r>
      <w:r w:rsidR="00A72B22" w:rsidRPr="000024CC">
        <w:rPr>
          <w:rFonts w:cs="Arial"/>
        </w:rPr>
        <w:t xml:space="preserve"> by </w:t>
      </w:r>
      <w:r w:rsidR="00C527D7" w:rsidRPr="000024CC">
        <w:rPr>
          <w:rFonts w:cs="Arial"/>
        </w:rPr>
        <w:t>Cabinet on</w:t>
      </w:r>
      <w:r w:rsidR="00790A5F" w:rsidRPr="000024CC">
        <w:rPr>
          <w:rFonts w:cs="Arial"/>
        </w:rPr>
        <w:t xml:space="preserve"> </w:t>
      </w:r>
      <w:r w:rsidR="0047627F" w:rsidRPr="000024CC">
        <w:rPr>
          <w:rFonts w:cs="Arial"/>
        </w:rPr>
        <w:t>12</w:t>
      </w:r>
      <w:r w:rsidR="009D1E51" w:rsidRPr="000024CC">
        <w:rPr>
          <w:rFonts w:cs="Arial"/>
        </w:rPr>
        <w:t xml:space="preserve"> August 2020</w:t>
      </w:r>
      <w:r w:rsidRPr="000024CC">
        <w:rPr>
          <w:rFonts w:cs="Arial"/>
        </w:rPr>
        <w:t xml:space="preserve">. This </w:t>
      </w:r>
      <w:r w:rsidR="00A72B22" w:rsidRPr="000024CC">
        <w:rPr>
          <w:rFonts w:cs="Arial"/>
        </w:rPr>
        <w:t>was an increase</w:t>
      </w:r>
      <w:r w:rsidR="00410DDA">
        <w:rPr>
          <w:rFonts w:cs="Arial"/>
        </w:rPr>
        <w:t xml:space="preserve"> of £423k on</w:t>
      </w:r>
      <w:r w:rsidR="00A72B22" w:rsidRPr="000024CC">
        <w:rPr>
          <w:rFonts w:cs="Arial"/>
        </w:rPr>
        <w:t xml:space="preserve"> £1.</w:t>
      </w:r>
      <w:r w:rsidR="009D1E51" w:rsidRPr="000024CC">
        <w:rPr>
          <w:rFonts w:cs="Arial"/>
        </w:rPr>
        <w:t>600</w:t>
      </w:r>
      <w:r w:rsidR="00790A5F" w:rsidRPr="000024CC">
        <w:rPr>
          <w:rFonts w:cs="Arial"/>
        </w:rPr>
        <w:t>m, which was to</w:t>
      </w:r>
      <w:r w:rsidR="00AB0BBE" w:rsidRPr="000024CC">
        <w:rPr>
          <w:rFonts w:cs="Arial"/>
          <w:bCs/>
        </w:rPr>
        <w:t xml:space="preserve"> </w:t>
      </w:r>
      <w:r w:rsidR="00C45271" w:rsidRPr="000024CC">
        <w:rPr>
          <w:rFonts w:cs="Arial"/>
          <w:bCs/>
        </w:rPr>
        <w:t>account for</w:t>
      </w:r>
      <w:r w:rsidR="00D875D1" w:rsidRPr="000024CC">
        <w:rPr>
          <w:rFonts w:cs="Arial"/>
          <w:bCs/>
        </w:rPr>
        <w:t xml:space="preserve"> increased project team staff costs</w:t>
      </w:r>
      <w:r w:rsidR="00790A5F" w:rsidRPr="000024CC">
        <w:rPr>
          <w:rFonts w:cs="Arial"/>
          <w:bCs/>
        </w:rPr>
        <w:t xml:space="preserve"> as a result of delay</w:t>
      </w:r>
      <w:r w:rsidR="000024CC">
        <w:rPr>
          <w:rFonts w:cs="Arial"/>
          <w:bCs/>
        </w:rPr>
        <w:t>s</w:t>
      </w:r>
      <w:r w:rsidR="00D875D1" w:rsidRPr="000024CC">
        <w:rPr>
          <w:rFonts w:cs="Arial"/>
          <w:bCs/>
        </w:rPr>
        <w:t xml:space="preserve">. </w:t>
      </w:r>
      <w:r w:rsidR="0058219D" w:rsidRPr="000024CC">
        <w:rPr>
          <w:rFonts w:cs="Arial"/>
        </w:rPr>
        <w:t xml:space="preserve">This budget is </w:t>
      </w:r>
      <w:r w:rsidR="001A32D7">
        <w:rPr>
          <w:rFonts w:cs="Arial"/>
        </w:rPr>
        <w:t xml:space="preserve">now considered </w:t>
      </w:r>
      <w:r w:rsidR="0058219D" w:rsidRPr="000024CC">
        <w:rPr>
          <w:rFonts w:cs="Arial"/>
        </w:rPr>
        <w:t>insufficient to cover the</w:t>
      </w:r>
      <w:r w:rsidR="00C45271" w:rsidRPr="000024CC">
        <w:rPr>
          <w:rFonts w:cs="Arial"/>
        </w:rPr>
        <w:t xml:space="preserve"> additional</w:t>
      </w:r>
      <w:r w:rsidR="0058219D" w:rsidRPr="000024CC">
        <w:rPr>
          <w:rFonts w:cs="Arial"/>
        </w:rPr>
        <w:t xml:space="preserve"> cost impact of the decision to extend the project timeline</w:t>
      </w:r>
      <w:r w:rsidR="00C45271" w:rsidRPr="000024CC">
        <w:rPr>
          <w:rFonts w:cs="Arial"/>
        </w:rPr>
        <w:t xml:space="preserve"> once more</w:t>
      </w:r>
      <w:r w:rsidR="0058219D" w:rsidRPr="000024CC">
        <w:rPr>
          <w:rFonts w:cs="Arial"/>
        </w:rPr>
        <w:t xml:space="preserve">. </w:t>
      </w:r>
    </w:p>
    <w:p w14:paraId="7E9A3C8D" w14:textId="77777777" w:rsidR="000024CC" w:rsidRPr="007D1D0F" w:rsidRDefault="00881B48" w:rsidP="007D1D0F">
      <w:pPr>
        <w:pStyle w:val="ListParagraph"/>
        <w:rPr>
          <w:rFonts w:cs="Arial"/>
        </w:rPr>
      </w:pPr>
      <w:r>
        <w:rPr>
          <w:rFonts w:cs="Arial"/>
        </w:rPr>
        <w:t xml:space="preserve">The remaining cost to deliver the project is forecast at £421,575. </w:t>
      </w:r>
      <w:r w:rsidR="007D1D0F">
        <w:rPr>
          <w:rStyle w:val="Firstpagetablebold"/>
          <w:rFonts w:cs="Arial"/>
          <w:b w:val="0"/>
        </w:rPr>
        <w:t>T</w:t>
      </w:r>
      <w:r w:rsidR="007D1D0F" w:rsidRPr="007D1D0F">
        <w:rPr>
          <w:rStyle w:val="Firstpagetablebold"/>
          <w:rFonts w:cs="Arial"/>
          <w:b w:val="0"/>
        </w:rPr>
        <w:t xml:space="preserve">he </w:t>
      </w:r>
      <w:r w:rsidR="009873E7">
        <w:rPr>
          <w:rStyle w:val="Firstpagetablebold"/>
          <w:rFonts w:cs="Arial"/>
          <w:b w:val="0"/>
        </w:rPr>
        <w:t xml:space="preserve">vast </w:t>
      </w:r>
      <w:r w:rsidR="007D1D0F" w:rsidRPr="007D1D0F">
        <w:rPr>
          <w:rStyle w:val="Firstpagetablebold"/>
          <w:rFonts w:cs="Arial"/>
          <w:b w:val="0"/>
        </w:rPr>
        <w:t>majority of these additional costs are the result of internal council project team costs.</w:t>
      </w:r>
      <w:r w:rsidR="00CA2E6F">
        <w:rPr>
          <w:rStyle w:val="Firstpagetablebold"/>
          <w:rFonts w:cs="Arial"/>
          <w:b w:val="0"/>
        </w:rPr>
        <w:t xml:space="preserve"> </w:t>
      </w:r>
      <w:r>
        <w:rPr>
          <w:rFonts w:cs="Arial"/>
        </w:rPr>
        <w:t>Of this amount,</w:t>
      </w:r>
      <w:r w:rsidR="007D1D0F">
        <w:rPr>
          <w:rFonts w:cs="Arial"/>
        </w:rPr>
        <w:t xml:space="preserve"> </w:t>
      </w:r>
      <w:r w:rsidR="000024CC" w:rsidRPr="007D1D0F">
        <w:rPr>
          <w:rFonts w:cs="Arial"/>
        </w:rPr>
        <w:t>£</w:t>
      </w:r>
      <w:r w:rsidR="00D719A6" w:rsidRPr="007D1D0F">
        <w:rPr>
          <w:rFonts w:cs="Arial"/>
        </w:rPr>
        <w:t>157,279</w:t>
      </w:r>
      <w:r w:rsidR="000024CC" w:rsidRPr="007D1D0F">
        <w:rPr>
          <w:rFonts w:cs="Arial"/>
        </w:rPr>
        <w:t xml:space="preserve"> is</w:t>
      </w:r>
      <w:r w:rsidR="00783D43" w:rsidRPr="007D1D0F">
        <w:rPr>
          <w:rFonts w:cs="Arial"/>
        </w:rPr>
        <w:t xml:space="preserve"> already </w:t>
      </w:r>
      <w:r w:rsidR="000024CC" w:rsidRPr="007D1D0F">
        <w:rPr>
          <w:rFonts w:cs="Arial"/>
        </w:rPr>
        <w:t>covered by the e</w:t>
      </w:r>
      <w:r w:rsidR="00114ACF" w:rsidRPr="007D1D0F">
        <w:rPr>
          <w:rFonts w:cs="Arial"/>
        </w:rPr>
        <w:t>xisting approved budget of £2.023</w:t>
      </w:r>
      <w:r w:rsidR="000024CC" w:rsidRPr="007D1D0F">
        <w:rPr>
          <w:rFonts w:cs="Arial"/>
        </w:rPr>
        <w:t xml:space="preserve">m. Approval is requested for the remainder, </w:t>
      </w:r>
      <w:r w:rsidR="00783D43" w:rsidRPr="007D1D0F">
        <w:rPr>
          <w:rFonts w:cs="Arial"/>
        </w:rPr>
        <w:t xml:space="preserve">an additional </w:t>
      </w:r>
      <w:r w:rsidR="000024CC" w:rsidRPr="007D1D0F">
        <w:rPr>
          <w:rStyle w:val="Firstpagetablebold"/>
          <w:rFonts w:cs="Arial"/>
          <w:b w:val="0"/>
        </w:rPr>
        <w:t>£</w:t>
      </w:r>
      <w:r w:rsidR="007D1D0F">
        <w:rPr>
          <w:rStyle w:val="Firstpagetablebold"/>
          <w:rFonts w:cs="Arial"/>
          <w:b w:val="0"/>
        </w:rPr>
        <w:t>264,296</w:t>
      </w:r>
      <w:r w:rsidR="000024CC" w:rsidRPr="007D1D0F">
        <w:rPr>
          <w:rStyle w:val="Firstpagetablebold"/>
          <w:rFonts w:cs="Arial"/>
          <w:b w:val="0"/>
        </w:rPr>
        <w:t xml:space="preserve">, which will be funded from </w:t>
      </w:r>
      <w:r w:rsidR="001A32D7" w:rsidRPr="007D1D0F">
        <w:rPr>
          <w:rStyle w:val="Firstpagetablebold"/>
          <w:rFonts w:cs="Arial"/>
          <w:b w:val="0"/>
        </w:rPr>
        <w:t>General Fund in the amoun</w:t>
      </w:r>
      <w:r w:rsidR="007D1D0F">
        <w:rPr>
          <w:rStyle w:val="Firstpagetablebold"/>
          <w:rFonts w:cs="Arial"/>
          <w:b w:val="0"/>
        </w:rPr>
        <w:t>t of £</w:t>
      </w:r>
      <w:r w:rsidR="009873E7">
        <w:rPr>
          <w:rStyle w:val="Firstpagetablebold"/>
          <w:rFonts w:cs="Arial"/>
          <w:b w:val="0"/>
        </w:rPr>
        <w:t>8</w:t>
      </w:r>
      <w:r w:rsidR="007D1D0F">
        <w:rPr>
          <w:rStyle w:val="Firstpagetablebold"/>
          <w:rFonts w:cs="Arial"/>
          <w:b w:val="0"/>
        </w:rPr>
        <w:t>0</w:t>
      </w:r>
      <w:r w:rsidR="00114ACF" w:rsidRPr="007D1D0F">
        <w:rPr>
          <w:rStyle w:val="Firstpagetablebold"/>
          <w:rFonts w:cs="Arial"/>
          <w:b w:val="0"/>
        </w:rPr>
        <w:t>k and the balance of £</w:t>
      </w:r>
      <w:r w:rsidR="009873E7">
        <w:rPr>
          <w:rStyle w:val="Firstpagetablebold"/>
          <w:rFonts w:cs="Arial"/>
          <w:b w:val="0"/>
        </w:rPr>
        <w:t>184</w:t>
      </w:r>
      <w:r w:rsidR="007D1D0F">
        <w:rPr>
          <w:rStyle w:val="Firstpagetablebold"/>
          <w:rFonts w:cs="Arial"/>
          <w:b w:val="0"/>
        </w:rPr>
        <w:t>,296</w:t>
      </w:r>
      <w:r w:rsidR="001A32D7" w:rsidRPr="007D1D0F">
        <w:rPr>
          <w:rStyle w:val="Firstpagetablebold"/>
          <w:rFonts w:cs="Arial"/>
          <w:b w:val="0"/>
        </w:rPr>
        <w:t xml:space="preserve"> from </w:t>
      </w:r>
      <w:r w:rsidR="009873E7">
        <w:rPr>
          <w:rStyle w:val="Firstpagetablebold"/>
          <w:rFonts w:cs="Arial"/>
          <w:b w:val="0"/>
        </w:rPr>
        <w:t xml:space="preserve">the </w:t>
      </w:r>
      <w:r w:rsidR="001A32D7" w:rsidRPr="007D1D0F">
        <w:rPr>
          <w:rStyle w:val="Firstpagetablebold"/>
          <w:rFonts w:cs="Arial"/>
          <w:b w:val="0"/>
        </w:rPr>
        <w:t>HRA</w:t>
      </w:r>
      <w:r w:rsidR="007D1D0F">
        <w:rPr>
          <w:rStyle w:val="Firstpagetablebold"/>
          <w:rFonts w:cs="Arial"/>
          <w:b w:val="0"/>
        </w:rPr>
        <w:t>.</w:t>
      </w:r>
    </w:p>
    <w:p w14:paraId="7E11E4F4" w14:textId="25B48EB4" w:rsidR="0096105B" w:rsidRPr="000024CC" w:rsidRDefault="00236BCE" w:rsidP="0096105B">
      <w:pPr>
        <w:pStyle w:val="ListParagraph"/>
        <w:rPr>
          <w:rFonts w:cs="Arial"/>
        </w:rPr>
      </w:pPr>
      <w:r w:rsidRPr="000024CC">
        <w:rPr>
          <w:rFonts w:cs="Arial"/>
        </w:rPr>
        <w:t xml:space="preserve">It should </w:t>
      </w:r>
      <w:r w:rsidR="00CA2E6F">
        <w:rPr>
          <w:rFonts w:cs="Arial"/>
        </w:rPr>
        <w:t xml:space="preserve">also </w:t>
      </w:r>
      <w:r w:rsidRPr="000024CC">
        <w:rPr>
          <w:rFonts w:cs="Arial"/>
        </w:rPr>
        <w:t>be noted that t</w:t>
      </w:r>
      <w:r w:rsidR="0096105B" w:rsidRPr="000024CC">
        <w:rPr>
          <w:rFonts w:cs="Arial"/>
        </w:rPr>
        <w:t>here will be ongoing</w:t>
      </w:r>
      <w:r w:rsidR="00A72B22" w:rsidRPr="000024CC">
        <w:rPr>
          <w:rFonts w:cs="Arial"/>
        </w:rPr>
        <w:t xml:space="preserve"> annual</w:t>
      </w:r>
      <w:r w:rsidR="0096105B" w:rsidRPr="000024CC">
        <w:rPr>
          <w:rFonts w:cs="Arial"/>
        </w:rPr>
        <w:t xml:space="preserve"> costs for legacy systems</w:t>
      </w:r>
      <w:r w:rsidR="000024CC">
        <w:rPr>
          <w:rFonts w:cs="Arial"/>
        </w:rPr>
        <w:t xml:space="preserve"> that cannot be retired until HAMS</w:t>
      </w:r>
      <w:r w:rsidR="0096105B" w:rsidRPr="000024CC">
        <w:rPr>
          <w:rFonts w:cs="Arial"/>
        </w:rPr>
        <w:t xml:space="preserve"> go-live. These total £</w:t>
      </w:r>
      <w:r w:rsidR="00A72B22" w:rsidRPr="000024CC">
        <w:rPr>
          <w:rFonts w:cs="Arial"/>
        </w:rPr>
        <w:t>370,382 for 20</w:t>
      </w:r>
      <w:r w:rsidR="001A32D7">
        <w:rPr>
          <w:rFonts w:cs="Arial"/>
        </w:rPr>
        <w:t>20</w:t>
      </w:r>
      <w:r w:rsidR="00A72B22" w:rsidRPr="000024CC">
        <w:rPr>
          <w:rFonts w:cs="Arial"/>
        </w:rPr>
        <w:t xml:space="preserve">/21 and </w:t>
      </w:r>
      <w:r w:rsidR="001A32D7">
        <w:rPr>
          <w:rFonts w:cs="Arial"/>
        </w:rPr>
        <w:t>20</w:t>
      </w:r>
      <w:r w:rsidR="00A72B22" w:rsidRPr="000024CC">
        <w:rPr>
          <w:rFonts w:cs="Arial"/>
        </w:rPr>
        <w:t>21/22</w:t>
      </w:r>
      <w:r w:rsidR="00CA2E6F">
        <w:rPr>
          <w:rFonts w:cs="Arial"/>
        </w:rPr>
        <w:t xml:space="preserve"> together</w:t>
      </w:r>
      <w:r w:rsidR="0096105B" w:rsidRPr="000024CC">
        <w:rPr>
          <w:rFonts w:cs="Arial"/>
        </w:rPr>
        <w:t>.</w:t>
      </w:r>
      <w:r w:rsidR="00AB0BBE" w:rsidRPr="000024CC">
        <w:rPr>
          <w:rFonts w:cs="Arial"/>
        </w:rPr>
        <w:t xml:space="preserve"> This total</w:t>
      </w:r>
      <w:r w:rsidR="00104641" w:rsidRPr="000024CC">
        <w:rPr>
          <w:rFonts w:cs="Arial"/>
        </w:rPr>
        <w:t xml:space="preserve"> may reduce through negotiation and application of break clauses.</w:t>
      </w:r>
      <w:r w:rsidR="000024CC">
        <w:rPr>
          <w:rFonts w:cs="Arial"/>
        </w:rPr>
        <w:t xml:space="preserve"> These costs are not applied to the HAMS project budget</w:t>
      </w:r>
      <w:r w:rsidR="003A4088">
        <w:rPr>
          <w:rFonts w:cs="Arial"/>
        </w:rPr>
        <w:t xml:space="preserve"> but are accounted for in ICT services software costs, the savings for which have already been factored into the budget. </w:t>
      </w:r>
    </w:p>
    <w:p w14:paraId="0F896F09" w14:textId="77777777" w:rsidR="00E471CA" w:rsidRDefault="00A45DFB" w:rsidP="00B94D6E">
      <w:pPr>
        <w:pStyle w:val="ListParagraph"/>
        <w:rPr>
          <w:rFonts w:cs="Arial"/>
        </w:rPr>
      </w:pPr>
      <w:r w:rsidRPr="000024CC">
        <w:rPr>
          <w:rFonts w:cs="Arial"/>
        </w:rPr>
        <w:t>It should also be noted that the delay has created financial implications for ODS, specifically in relation to expected efficiency savings enabled by deployment of the system, and expected materials savings through implementation of a supply chain contract with Grafton, which cannot go-live until after the deployment.</w:t>
      </w:r>
      <w:r w:rsidR="00A01811" w:rsidRPr="000024CC">
        <w:rPr>
          <w:rFonts w:cs="Arial"/>
        </w:rPr>
        <w:t xml:space="preserve"> </w:t>
      </w:r>
      <w:r w:rsidRPr="000024CC">
        <w:rPr>
          <w:rFonts w:cs="Arial"/>
        </w:rPr>
        <w:t xml:space="preserve">No forecast savings will be achieved in this financial year, and will only be partially realised in </w:t>
      </w:r>
      <w:r w:rsidR="001A32D7">
        <w:rPr>
          <w:rFonts w:cs="Arial"/>
        </w:rPr>
        <w:t>2021/22</w:t>
      </w:r>
      <w:r w:rsidRPr="000024CC">
        <w:rPr>
          <w:rFonts w:cs="Arial"/>
        </w:rPr>
        <w:t>.</w:t>
      </w:r>
    </w:p>
    <w:p w14:paraId="76305988" w14:textId="288A4E91" w:rsidR="00384E5D" w:rsidRPr="007F06A5" w:rsidRDefault="00384E5D" w:rsidP="00B94D6E">
      <w:pPr>
        <w:pStyle w:val="ListParagraph"/>
        <w:rPr>
          <w:rFonts w:cs="Arial"/>
        </w:rPr>
      </w:pPr>
      <w:r w:rsidRPr="007F06A5">
        <w:rPr>
          <w:rFonts w:cs="Arial"/>
        </w:rPr>
        <w:t xml:space="preserve">Tight project and contractual management will continue to be applied to mitigate </w:t>
      </w:r>
      <w:r w:rsidR="00F932C1" w:rsidRPr="007F06A5">
        <w:rPr>
          <w:rFonts w:cs="Arial"/>
        </w:rPr>
        <w:t xml:space="preserve">financial risk going forward and deliver the most favourable financial end position for the project. </w:t>
      </w:r>
    </w:p>
    <w:p w14:paraId="267572A1" w14:textId="77777777" w:rsidR="00B462E9" w:rsidRPr="005C1597" w:rsidRDefault="00DA614B" w:rsidP="005C1597">
      <w:pPr>
        <w:pStyle w:val="Heading1"/>
        <w:rPr>
          <w:rFonts w:cs="Arial"/>
        </w:rPr>
      </w:pPr>
      <w:r w:rsidRPr="000024CC">
        <w:rPr>
          <w:rFonts w:cs="Arial"/>
        </w:rPr>
        <w:t>Legal issues</w:t>
      </w:r>
    </w:p>
    <w:p w14:paraId="02BB5379" w14:textId="77777777" w:rsidR="00B462E9" w:rsidRPr="000024CC" w:rsidRDefault="001B10D4" w:rsidP="00415FF4">
      <w:pPr>
        <w:pStyle w:val="ListParagraph"/>
        <w:rPr>
          <w:rFonts w:cs="Arial"/>
        </w:rPr>
      </w:pPr>
      <w:r>
        <w:rPr>
          <w:rFonts w:cs="Arial"/>
        </w:rPr>
        <w:t>The terms of the con</w:t>
      </w:r>
      <w:r w:rsidR="005C1597">
        <w:rPr>
          <w:rFonts w:cs="Arial"/>
        </w:rPr>
        <w:t>tract between the Council and Aa</w:t>
      </w:r>
      <w:r>
        <w:rPr>
          <w:rFonts w:cs="Arial"/>
        </w:rPr>
        <w:t xml:space="preserve">reon will determine what options are open to the Council should it wish to vary the requirements of the contract and / or extend the term of contract. Such decisions may give rise to </w:t>
      </w:r>
      <w:r>
        <w:rPr>
          <w:rFonts w:cs="Arial"/>
        </w:rPr>
        <w:lastRenderedPageBreak/>
        <w:t xml:space="preserve">procurement implications. Legal </w:t>
      </w:r>
      <w:r w:rsidR="00306278">
        <w:rPr>
          <w:rFonts w:cs="Arial"/>
        </w:rPr>
        <w:t>advice will be</w:t>
      </w:r>
      <w:r>
        <w:rPr>
          <w:rFonts w:cs="Arial"/>
        </w:rPr>
        <w:t xml:space="preserve"> obtained in respect of these issues and the other issues arising in the report so as to ensure that the Council is acting in accordance with</w:t>
      </w:r>
      <w:r w:rsidR="00F82E2A">
        <w:rPr>
          <w:rFonts w:cs="Arial"/>
        </w:rPr>
        <w:t xml:space="preserve"> its rights under</w:t>
      </w:r>
      <w:r>
        <w:rPr>
          <w:rFonts w:cs="Arial"/>
        </w:rPr>
        <w:t xml:space="preserve"> the t</w:t>
      </w:r>
      <w:r w:rsidR="00F82E2A">
        <w:rPr>
          <w:rFonts w:cs="Arial"/>
        </w:rPr>
        <w:t xml:space="preserve">erms of contract as well as acting in compliance with the </w:t>
      </w:r>
      <w:r w:rsidR="00FE4B4F">
        <w:rPr>
          <w:rFonts w:cs="Arial"/>
        </w:rPr>
        <w:t xml:space="preserve">Council’s </w:t>
      </w:r>
      <w:r>
        <w:rPr>
          <w:rFonts w:cs="Arial"/>
        </w:rPr>
        <w:t>Contract Procedure Rules and the Public Contracts Regulations 2015.</w:t>
      </w:r>
    </w:p>
    <w:p w14:paraId="677DF949" w14:textId="77777777" w:rsidR="00F357E1" w:rsidRPr="000024CC" w:rsidRDefault="002329CF" w:rsidP="0050321C">
      <w:pPr>
        <w:pStyle w:val="Heading1"/>
        <w:rPr>
          <w:rFonts w:cs="Arial"/>
        </w:rPr>
      </w:pPr>
      <w:r w:rsidRPr="000024CC">
        <w:rPr>
          <w:rFonts w:cs="Arial"/>
        </w:rPr>
        <w:t>Level of risk</w:t>
      </w:r>
    </w:p>
    <w:p w14:paraId="66D1456E" w14:textId="77777777" w:rsidR="00F357E1" w:rsidRPr="000024CC" w:rsidRDefault="00F357E1" w:rsidP="00F357E1">
      <w:pPr>
        <w:pStyle w:val="ListParagraph"/>
        <w:rPr>
          <w:rFonts w:cs="Arial"/>
        </w:rPr>
      </w:pPr>
      <w:r w:rsidRPr="000024CC">
        <w:rPr>
          <w:rFonts w:cs="Arial"/>
        </w:rPr>
        <w:t>Appendix 1 shows the major risks to the project. The most significant risks posed are in relation to resource capacity over the course of the plan, and the risk that further issues could be discovered during remaining testing.</w:t>
      </w:r>
      <w:r w:rsidR="00581472" w:rsidRPr="000024CC">
        <w:rPr>
          <w:rFonts w:cs="Arial"/>
        </w:rPr>
        <w:t xml:space="preserve"> Controls have been put in place to monitor both risks and to provide early warning should adverse impacts be identified s</w:t>
      </w:r>
      <w:r w:rsidR="00ED131D" w:rsidRPr="000024CC">
        <w:rPr>
          <w:rFonts w:cs="Arial"/>
        </w:rPr>
        <w:t>o that adjustments can be made if required to minimise overall p</w:t>
      </w:r>
      <w:r w:rsidR="00EA39A7">
        <w:rPr>
          <w:rFonts w:cs="Arial"/>
        </w:rPr>
        <w:t>la</w:t>
      </w:r>
      <w:r w:rsidR="00ED131D" w:rsidRPr="000024CC">
        <w:rPr>
          <w:rFonts w:cs="Arial"/>
        </w:rPr>
        <w:t xml:space="preserve">n impact. </w:t>
      </w:r>
    </w:p>
    <w:p w14:paraId="05616AA0" w14:textId="77777777" w:rsidR="002329CF" w:rsidRPr="000024CC" w:rsidRDefault="002329CF" w:rsidP="0050321C">
      <w:pPr>
        <w:pStyle w:val="Heading1"/>
        <w:rPr>
          <w:rFonts w:cs="Arial"/>
        </w:rPr>
      </w:pPr>
      <w:r w:rsidRPr="000024CC">
        <w:rPr>
          <w:rFonts w:cs="Arial"/>
        </w:rPr>
        <w:t xml:space="preserve">Equalities impact </w:t>
      </w:r>
    </w:p>
    <w:p w14:paraId="0544318E" w14:textId="77777777" w:rsidR="00E206D6" w:rsidRPr="000024CC" w:rsidRDefault="000E49C7" w:rsidP="000414AE">
      <w:pPr>
        <w:pStyle w:val="ListParagraph"/>
      </w:pPr>
      <w:r w:rsidRPr="000024CC">
        <w:t>.</w:t>
      </w:r>
      <w:r w:rsidR="0037527D">
        <w:t xml:space="preserve"> A full Equalities Impact Assessment was carried out </w:t>
      </w:r>
      <w:r w:rsidR="000414AE">
        <w:t>December 2020</w:t>
      </w:r>
      <w:r w:rsidR="0037527D">
        <w:t xml:space="preserve"> and is available </w:t>
      </w:r>
      <w:r w:rsidR="000414AE">
        <w:t xml:space="preserve">in </w:t>
      </w:r>
      <w:hyperlink r:id="rId11" w:history="1">
        <w:r w:rsidR="000414AE">
          <w:rPr>
            <w:rStyle w:val="Hyperlink"/>
          </w:rPr>
          <w:t>Y:\\qlapp\qlsharepoint\</w:t>
        </w:r>
      </w:hyperlink>
      <w:r w:rsidR="001F2A4F">
        <w:rPr>
          <w:color w:val="1F497D"/>
        </w:rPr>
        <w:t xml:space="preserve">. </w:t>
      </w:r>
      <w:r w:rsidR="0037527D">
        <w:t>That EIA is still applicable and applies to this report because it is considered that the proposal in this report does not give rise to any additional implications in relation to the Council’s public sector equality duty (“PSED”) contained in section 149 of the Equality Act 2010. Accordingly, it is considered that in approving the recommendations of this report, the Council will be acting in compliance with its PSED.</w:t>
      </w:r>
    </w:p>
    <w:p w14:paraId="242DB542" w14:textId="77777777" w:rsidR="002329CF" w:rsidRPr="000024CC" w:rsidRDefault="002329CF"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0024CC" w14:paraId="38BC010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88F5FF3" w14:textId="77777777" w:rsidR="00E87F7A" w:rsidRPr="000024CC" w:rsidRDefault="00E87F7A" w:rsidP="00A46E98">
            <w:pPr>
              <w:rPr>
                <w:rFonts w:cs="Arial"/>
                <w:b/>
              </w:rPr>
            </w:pPr>
            <w:r w:rsidRPr="000024CC">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F609EE0" w14:textId="77777777" w:rsidR="00E87F7A" w:rsidRPr="000024CC" w:rsidRDefault="0013267D" w:rsidP="00A46E98">
            <w:pPr>
              <w:rPr>
                <w:rFonts w:cs="Arial"/>
              </w:rPr>
            </w:pPr>
            <w:r w:rsidRPr="000024CC">
              <w:rPr>
                <w:rFonts w:cs="Arial"/>
              </w:rPr>
              <w:t>Suzanne White</w:t>
            </w:r>
          </w:p>
        </w:tc>
      </w:tr>
      <w:tr w:rsidR="00DF093E" w:rsidRPr="000024CC" w14:paraId="581694E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F7FEA38" w14:textId="77777777" w:rsidR="00E87F7A" w:rsidRPr="000024CC" w:rsidRDefault="00E87F7A" w:rsidP="00A46E98">
            <w:pPr>
              <w:rPr>
                <w:rFonts w:cs="Arial"/>
              </w:rPr>
            </w:pPr>
            <w:r w:rsidRPr="000024CC">
              <w:rPr>
                <w:rFonts w:cs="Arial"/>
              </w:rPr>
              <w:t>Job title</w:t>
            </w:r>
          </w:p>
        </w:tc>
        <w:tc>
          <w:tcPr>
            <w:tcW w:w="4962" w:type="dxa"/>
            <w:tcBorders>
              <w:top w:val="single" w:sz="8" w:space="0" w:color="000000"/>
              <w:left w:val="nil"/>
              <w:bottom w:val="nil"/>
              <w:right w:val="single" w:sz="8" w:space="0" w:color="000000"/>
            </w:tcBorders>
            <w:shd w:val="clear" w:color="auto" w:fill="auto"/>
          </w:tcPr>
          <w:p w14:paraId="0949322D" w14:textId="77777777" w:rsidR="00E87F7A" w:rsidRPr="000024CC" w:rsidRDefault="0013267D" w:rsidP="0013267D">
            <w:pPr>
              <w:rPr>
                <w:rFonts w:cs="Arial"/>
              </w:rPr>
            </w:pPr>
            <w:r w:rsidRPr="000024CC">
              <w:rPr>
                <w:rFonts w:cs="Arial"/>
              </w:rPr>
              <w:t>PMO Manager</w:t>
            </w:r>
          </w:p>
        </w:tc>
      </w:tr>
      <w:tr w:rsidR="00DF093E" w:rsidRPr="000024CC" w14:paraId="5BD74C24" w14:textId="77777777" w:rsidTr="002B55A3">
        <w:trPr>
          <w:cantSplit/>
          <w:trHeight w:val="368"/>
        </w:trPr>
        <w:tc>
          <w:tcPr>
            <w:tcW w:w="3969" w:type="dxa"/>
            <w:tcBorders>
              <w:top w:val="nil"/>
              <w:left w:val="single" w:sz="8" w:space="0" w:color="000000"/>
              <w:bottom w:val="nil"/>
              <w:right w:val="nil"/>
            </w:tcBorders>
            <w:shd w:val="clear" w:color="auto" w:fill="auto"/>
          </w:tcPr>
          <w:p w14:paraId="755C4B38" w14:textId="77777777" w:rsidR="00E87F7A" w:rsidRPr="000024CC" w:rsidRDefault="00E87F7A" w:rsidP="00A46E98">
            <w:pPr>
              <w:rPr>
                <w:rFonts w:cs="Arial"/>
              </w:rPr>
            </w:pPr>
            <w:r w:rsidRPr="000024CC">
              <w:rPr>
                <w:rFonts w:cs="Arial"/>
              </w:rPr>
              <w:t>Service area or department</w:t>
            </w:r>
          </w:p>
        </w:tc>
        <w:tc>
          <w:tcPr>
            <w:tcW w:w="4962" w:type="dxa"/>
            <w:tcBorders>
              <w:top w:val="nil"/>
              <w:left w:val="nil"/>
              <w:bottom w:val="nil"/>
              <w:right w:val="single" w:sz="8" w:space="0" w:color="000000"/>
            </w:tcBorders>
            <w:shd w:val="clear" w:color="auto" w:fill="auto"/>
          </w:tcPr>
          <w:p w14:paraId="70BE9E99" w14:textId="77777777" w:rsidR="00E87F7A" w:rsidRPr="000024CC" w:rsidRDefault="0013267D" w:rsidP="00A46E98">
            <w:pPr>
              <w:rPr>
                <w:rFonts w:cs="Arial"/>
              </w:rPr>
            </w:pPr>
            <w:r w:rsidRPr="000024CC">
              <w:rPr>
                <w:rFonts w:cs="Arial"/>
              </w:rPr>
              <w:t>ODS</w:t>
            </w:r>
          </w:p>
        </w:tc>
      </w:tr>
      <w:tr w:rsidR="00DF093E" w:rsidRPr="000024CC" w14:paraId="73605BBB" w14:textId="77777777" w:rsidTr="00A46E98">
        <w:trPr>
          <w:cantSplit/>
          <w:trHeight w:val="396"/>
        </w:trPr>
        <w:tc>
          <w:tcPr>
            <w:tcW w:w="3969" w:type="dxa"/>
            <w:tcBorders>
              <w:top w:val="nil"/>
              <w:left w:val="single" w:sz="8" w:space="0" w:color="000000"/>
              <w:bottom w:val="nil"/>
              <w:right w:val="nil"/>
            </w:tcBorders>
            <w:shd w:val="clear" w:color="auto" w:fill="auto"/>
          </w:tcPr>
          <w:p w14:paraId="6D90E4F5" w14:textId="77777777" w:rsidR="00E87F7A" w:rsidRPr="000024CC" w:rsidRDefault="00E87F7A" w:rsidP="00A46E98">
            <w:pPr>
              <w:rPr>
                <w:rFonts w:cs="Arial"/>
              </w:rPr>
            </w:pPr>
            <w:r w:rsidRPr="000024CC">
              <w:rPr>
                <w:rFonts w:cs="Arial"/>
              </w:rPr>
              <w:t xml:space="preserve">Telephone </w:t>
            </w:r>
          </w:p>
        </w:tc>
        <w:tc>
          <w:tcPr>
            <w:tcW w:w="4962" w:type="dxa"/>
            <w:tcBorders>
              <w:top w:val="nil"/>
              <w:left w:val="nil"/>
              <w:bottom w:val="nil"/>
              <w:right w:val="single" w:sz="8" w:space="0" w:color="000000"/>
            </w:tcBorders>
            <w:shd w:val="clear" w:color="auto" w:fill="auto"/>
          </w:tcPr>
          <w:p w14:paraId="6AAC69B6" w14:textId="77777777" w:rsidR="00E87F7A" w:rsidRPr="000024CC" w:rsidRDefault="0013267D" w:rsidP="00A46E98">
            <w:pPr>
              <w:rPr>
                <w:rFonts w:cs="Arial"/>
              </w:rPr>
            </w:pPr>
            <w:r w:rsidRPr="000024CC">
              <w:rPr>
                <w:rFonts w:cs="Arial"/>
              </w:rPr>
              <w:t>01865 335 745</w:t>
            </w:r>
            <w:r w:rsidRPr="000024CC">
              <w:rPr>
                <w:rFonts w:eastAsiaTheme="minorEastAsia" w:cs="Arial"/>
                <w:noProof/>
                <w:color w:val="545454"/>
                <w:sz w:val="20"/>
                <w:szCs w:val="20"/>
              </w:rPr>
              <w:t> </w:t>
            </w:r>
          </w:p>
        </w:tc>
      </w:tr>
      <w:tr w:rsidR="005570B5" w:rsidRPr="000024CC" w14:paraId="0981F9C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2AC155C" w14:textId="77777777" w:rsidR="00E87F7A" w:rsidRPr="000024CC" w:rsidRDefault="00E87F7A" w:rsidP="00A46E98">
            <w:pPr>
              <w:rPr>
                <w:rFonts w:cs="Arial"/>
              </w:rPr>
            </w:pPr>
            <w:r w:rsidRPr="000024CC">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2EBC5126" w14:textId="77777777" w:rsidR="00E87F7A" w:rsidRPr="000024CC" w:rsidRDefault="00B12FBB" w:rsidP="00A46E98">
            <w:pPr>
              <w:rPr>
                <w:rStyle w:val="Hyperlink"/>
                <w:rFonts w:cs="Arial"/>
                <w:color w:val="000000"/>
              </w:rPr>
            </w:pPr>
            <w:hyperlink r:id="rId12" w:history="1">
              <w:r w:rsidR="0013267D" w:rsidRPr="000024CC">
                <w:rPr>
                  <w:rStyle w:val="Hyperlink"/>
                  <w:rFonts w:cs="Arial"/>
                </w:rPr>
                <w:t>Suzanne.white@odsgroup.co.uk</w:t>
              </w:r>
            </w:hyperlink>
          </w:p>
        </w:tc>
      </w:tr>
    </w:tbl>
    <w:p w14:paraId="5A57C1AC" w14:textId="77777777" w:rsidR="00433B96" w:rsidRPr="000024CC"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0024CC" w14:paraId="6D6FB1DD"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73ADCBC8" w14:textId="77777777" w:rsidR="0093067A" w:rsidRPr="000024CC" w:rsidRDefault="00182B81" w:rsidP="00F41AC1">
            <w:pPr>
              <w:rPr>
                <w:rFonts w:cs="Arial"/>
              </w:rPr>
            </w:pPr>
            <w:r w:rsidRPr="000024CC">
              <w:rPr>
                <w:rStyle w:val="Firstpagetablebold"/>
                <w:rFonts w:cs="Arial"/>
              </w:rPr>
              <w:t xml:space="preserve">Background Papers: </w:t>
            </w:r>
            <w:r w:rsidRPr="000024CC">
              <w:rPr>
                <w:rStyle w:val="Firstpagetablebold"/>
                <w:rFonts w:cs="Arial"/>
                <w:b w:val="0"/>
              </w:rPr>
              <w:t>None</w:t>
            </w:r>
          </w:p>
        </w:tc>
      </w:tr>
    </w:tbl>
    <w:p w14:paraId="424D9742" w14:textId="77777777" w:rsidR="004456DD" w:rsidRPr="000024CC" w:rsidRDefault="004456DD" w:rsidP="00A1777C">
      <w:pPr>
        <w:rPr>
          <w:rFonts w:cs="Arial"/>
        </w:rPr>
      </w:pPr>
    </w:p>
    <w:sectPr w:rsidR="004456DD" w:rsidRPr="000024CC"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7F958" w14:textId="77777777" w:rsidR="00CB1D68" w:rsidRDefault="00CB1D68" w:rsidP="004A6D2F">
      <w:r>
        <w:separator/>
      </w:r>
    </w:p>
  </w:endnote>
  <w:endnote w:type="continuationSeparator" w:id="0">
    <w:p w14:paraId="20F59BD7" w14:textId="77777777" w:rsidR="00CB1D68" w:rsidRDefault="00CB1D6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9EF43" w14:textId="77777777" w:rsidR="00364FAD" w:rsidRDefault="00364FAD" w:rsidP="004A6D2F">
    <w:pPr>
      <w:pStyle w:val="Footer"/>
    </w:pPr>
    <w:r>
      <w:t>Do not use a footer or page numbers.</w:t>
    </w:r>
  </w:p>
  <w:p w14:paraId="383CD9A6" w14:textId="77777777" w:rsidR="00364FAD" w:rsidRDefault="00364FAD" w:rsidP="004A6D2F">
    <w:pPr>
      <w:pStyle w:val="Footer"/>
    </w:pPr>
  </w:p>
  <w:p w14:paraId="117675F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62E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B2FFD" w14:textId="77777777" w:rsidR="00CB1D68" w:rsidRDefault="00CB1D68" w:rsidP="004A6D2F">
      <w:r>
        <w:separator/>
      </w:r>
    </w:p>
  </w:footnote>
  <w:footnote w:type="continuationSeparator" w:id="0">
    <w:p w14:paraId="01306B57" w14:textId="77777777" w:rsidR="00CB1D68" w:rsidRDefault="00CB1D6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46A9" w14:textId="77777777" w:rsidR="00D5547E" w:rsidRDefault="001638B5" w:rsidP="00D5547E">
    <w:pPr>
      <w:pStyle w:val="Header"/>
      <w:jc w:val="right"/>
    </w:pPr>
    <w:r>
      <w:rPr>
        <w:noProof/>
      </w:rPr>
      <w:drawing>
        <wp:inline distT="0" distB="0" distL="0" distR="0" wp14:anchorId="59C36047" wp14:editId="375166A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1353"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CCA55A3"/>
    <w:multiLevelType w:val="hybridMultilevel"/>
    <w:tmpl w:val="82E05A9A"/>
    <w:lvl w:ilvl="0" w:tplc="5184A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DA58FD"/>
    <w:multiLevelType w:val="hybridMultilevel"/>
    <w:tmpl w:val="B2F04D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56016E"/>
    <w:multiLevelType w:val="hybridMultilevel"/>
    <w:tmpl w:val="70282466"/>
    <w:lvl w:ilvl="0" w:tplc="6A6AD48A">
      <w:numFmt w:val="bullet"/>
      <w:lvlText w:val="-"/>
      <w:lvlJc w:val="left"/>
      <w:pPr>
        <w:ind w:left="720" w:hanging="360"/>
      </w:pPr>
      <w:rPr>
        <w:rFonts w:ascii="Montserrat" w:eastAsiaTheme="minorHAnsi" w:hAnsi="Montserra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C6D4B"/>
    <w:multiLevelType w:val="hybridMultilevel"/>
    <w:tmpl w:val="6EC04D64"/>
    <w:lvl w:ilvl="0" w:tplc="CB3A1F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1236E"/>
    <w:multiLevelType w:val="hybridMultilevel"/>
    <w:tmpl w:val="47E0CF6E"/>
    <w:lvl w:ilvl="0" w:tplc="089C8D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A5FD8"/>
    <w:multiLevelType w:val="multilevel"/>
    <w:tmpl w:val="43D6D2FA"/>
    <w:numStyleLink w:val="StyleBulletedSymbolsymbolLeft063cmHanging063cm"/>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abstractNum w:abstractNumId="38" w15:restartNumberingAfterBreak="0">
    <w:nsid w:val="7D5E561E"/>
    <w:multiLevelType w:val="hybridMultilevel"/>
    <w:tmpl w:val="FA94A092"/>
    <w:lvl w:ilvl="0" w:tplc="A4526B36">
      <w:start w:val="1"/>
      <w:numFmt w:val="bullet"/>
      <w:lvlText w:val="•"/>
      <w:lvlJc w:val="left"/>
      <w:pPr>
        <w:tabs>
          <w:tab w:val="num" w:pos="720"/>
        </w:tabs>
        <w:ind w:left="720" w:hanging="360"/>
      </w:pPr>
      <w:rPr>
        <w:rFonts w:ascii="Arial" w:hAnsi="Arial" w:hint="default"/>
      </w:rPr>
    </w:lvl>
    <w:lvl w:ilvl="1" w:tplc="955A1B7A" w:tentative="1">
      <w:start w:val="1"/>
      <w:numFmt w:val="bullet"/>
      <w:lvlText w:val="•"/>
      <w:lvlJc w:val="left"/>
      <w:pPr>
        <w:tabs>
          <w:tab w:val="num" w:pos="1440"/>
        </w:tabs>
        <w:ind w:left="1440" w:hanging="360"/>
      </w:pPr>
      <w:rPr>
        <w:rFonts w:ascii="Arial" w:hAnsi="Arial" w:hint="default"/>
      </w:rPr>
    </w:lvl>
    <w:lvl w:ilvl="2" w:tplc="99C21828" w:tentative="1">
      <w:start w:val="1"/>
      <w:numFmt w:val="bullet"/>
      <w:lvlText w:val="•"/>
      <w:lvlJc w:val="left"/>
      <w:pPr>
        <w:tabs>
          <w:tab w:val="num" w:pos="2160"/>
        </w:tabs>
        <w:ind w:left="2160" w:hanging="360"/>
      </w:pPr>
      <w:rPr>
        <w:rFonts w:ascii="Arial" w:hAnsi="Arial" w:hint="default"/>
      </w:rPr>
    </w:lvl>
    <w:lvl w:ilvl="3" w:tplc="1A440E62" w:tentative="1">
      <w:start w:val="1"/>
      <w:numFmt w:val="bullet"/>
      <w:lvlText w:val="•"/>
      <w:lvlJc w:val="left"/>
      <w:pPr>
        <w:tabs>
          <w:tab w:val="num" w:pos="2880"/>
        </w:tabs>
        <w:ind w:left="2880" w:hanging="360"/>
      </w:pPr>
      <w:rPr>
        <w:rFonts w:ascii="Arial" w:hAnsi="Arial" w:hint="default"/>
      </w:rPr>
    </w:lvl>
    <w:lvl w:ilvl="4" w:tplc="2B2E09E6" w:tentative="1">
      <w:start w:val="1"/>
      <w:numFmt w:val="bullet"/>
      <w:lvlText w:val="•"/>
      <w:lvlJc w:val="left"/>
      <w:pPr>
        <w:tabs>
          <w:tab w:val="num" w:pos="3600"/>
        </w:tabs>
        <w:ind w:left="3600" w:hanging="360"/>
      </w:pPr>
      <w:rPr>
        <w:rFonts w:ascii="Arial" w:hAnsi="Arial" w:hint="default"/>
      </w:rPr>
    </w:lvl>
    <w:lvl w:ilvl="5" w:tplc="143CB59C" w:tentative="1">
      <w:start w:val="1"/>
      <w:numFmt w:val="bullet"/>
      <w:lvlText w:val="•"/>
      <w:lvlJc w:val="left"/>
      <w:pPr>
        <w:tabs>
          <w:tab w:val="num" w:pos="4320"/>
        </w:tabs>
        <w:ind w:left="4320" w:hanging="360"/>
      </w:pPr>
      <w:rPr>
        <w:rFonts w:ascii="Arial" w:hAnsi="Arial" w:hint="default"/>
      </w:rPr>
    </w:lvl>
    <w:lvl w:ilvl="6" w:tplc="AFBE8502" w:tentative="1">
      <w:start w:val="1"/>
      <w:numFmt w:val="bullet"/>
      <w:lvlText w:val="•"/>
      <w:lvlJc w:val="left"/>
      <w:pPr>
        <w:tabs>
          <w:tab w:val="num" w:pos="5040"/>
        </w:tabs>
        <w:ind w:left="5040" w:hanging="360"/>
      </w:pPr>
      <w:rPr>
        <w:rFonts w:ascii="Arial" w:hAnsi="Arial" w:hint="default"/>
      </w:rPr>
    </w:lvl>
    <w:lvl w:ilvl="7" w:tplc="3F4EF57A" w:tentative="1">
      <w:start w:val="1"/>
      <w:numFmt w:val="bullet"/>
      <w:lvlText w:val="•"/>
      <w:lvlJc w:val="left"/>
      <w:pPr>
        <w:tabs>
          <w:tab w:val="num" w:pos="5760"/>
        </w:tabs>
        <w:ind w:left="5760" w:hanging="360"/>
      </w:pPr>
      <w:rPr>
        <w:rFonts w:ascii="Arial" w:hAnsi="Arial" w:hint="default"/>
      </w:rPr>
    </w:lvl>
    <w:lvl w:ilvl="8" w:tplc="0DB2B6BE"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5"/>
  </w:num>
  <w:num w:numId="3">
    <w:abstractNumId w:val="27"/>
  </w:num>
  <w:num w:numId="4">
    <w:abstractNumId w:val="22"/>
  </w:num>
  <w:num w:numId="5">
    <w:abstractNumId w:val="32"/>
  </w:num>
  <w:num w:numId="6">
    <w:abstractNumId w:val="36"/>
  </w:num>
  <w:num w:numId="7">
    <w:abstractNumId w:val="25"/>
  </w:num>
  <w:num w:numId="8">
    <w:abstractNumId w:val="23"/>
  </w:num>
  <w:num w:numId="9">
    <w:abstractNumId w:val="13"/>
  </w:num>
  <w:num w:numId="10">
    <w:abstractNumId w:val="18"/>
  </w:num>
  <w:num w:numId="11">
    <w:abstractNumId w:val="29"/>
  </w:num>
  <w:num w:numId="12">
    <w:abstractNumId w:val="28"/>
  </w:num>
  <w:num w:numId="13">
    <w:abstractNumId w:val="10"/>
  </w:num>
  <w:num w:numId="14">
    <w:abstractNumId w:val="37"/>
  </w:num>
  <w:num w:numId="15">
    <w:abstractNumId w:val="20"/>
  </w:num>
  <w:num w:numId="16">
    <w:abstractNumId w:val="11"/>
  </w:num>
  <w:num w:numId="17">
    <w:abstractNumId w:val="31"/>
  </w:num>
  <w:num w:numId="18">
    <w:abstractNumId w:val="12"/>
  </w:num>
  <w:num w:numId="19">
    <w:abstractNumId w:val="33"/>
  </w:num>
  <w:num w:numId="20">
    <w:abstractNumId w:val="21"/>
  </w:num>
  <w:num w:numId="21">
    <w:abstractNumId w:val="24"/>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7"/>
  </w:num>
  <w:num w:numId="36">
    <w:abstractNumId w:val="17"/>
  </w:num>
  <w:num w:numId="37">
    <w:abstractNumId w:val="37"/>
  </w:num>
  <w:num w:numId="38">
    <w:abstractNumId w:val="37"/>
  </w:num>
  <w:num w:numId="39">
    <w:abstractNumId w:val="38"/>
  </w:num>
  <w:num w:numId="40">
    <w:abstractNumId w:val="37"/>
  </w:num>
  <w:num w:numId="41">
    <w:abstractNumId w:val="37"/>
  </w:num>
  <w:num w:numId="42">
    <w:abstractNumId w:val="15"/>
  </w:num>
  <w:num w:numId="43">
    <w:abstractNumId w:val="16"/>
  </w:num>
  <w:num w:numId="4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1/12/2020 09:12"/>
  </w:docVars>
  <w:rsids>
    <w:rsidRoot w:val="00A01811"/>
    <w:rsid w:val="000024CC"/>
    <w:rsid w:val="00006B8B"/>
    <w:rsid w:val="0000785A"/>
    <w:rsid w:val="00010B96"/>
    <w:rsid w:val="000117D4"/>
    <w:rsid w:val="000314D7"/>
    <w:rsid w:val="000414AE"/>
    <w:rsid w:val="00044E2A"/>
    <w:rsid w:val="00045F8B"/>
    <w:rsid w:val="00046D2B"/>
    <w:rsid w:val="00056263"/>
    <w:rsid w:val="00064D8A"/>
    <w:rsid w:val="00064F82"/>
    <w:rsid w:val="00066510"/>
    <w:rsid w:val="00077523"/>
    <w:rsid w:val="00083EE2"/>
    <w:rsid w:val="000A1FB1"/>
    <w:rsid w:val="000B60E0"/>
    <w:rsid w:val="000C089F"/>
    <w:rsid w:val="000C3928"/>
    <w:rsid w:val="000C5E8E"/>
    <w:rsid w:val="000E0FDC"/>
    <w:rsid w:val="000E3183"/>
    <w:rsid w:val="000E49C7"/>
    <w:rsid w:val="000F4751"/>
    <w:rsid w:val="00100ED4"/>
    <w:rsid w:val="00104641"/>
    <w:rsid w:val="0010524C"/>
    <w:rsid w:val="00111FB1"/>
    <w:rsid w:val="00113418"/>
    <w:rsid w:val="00114ACF"/>
    <w:rsid w:val="00114D09"/>
    <w:rsid w:val="0013267D"/>
    <w:rsid w:val="001356F1"/>
    <w:rsid w:val="00136994"/>
    <w:rsid w:val="0014128E"/>
    <w:rsid w:val="00151888"/>
    <w:rsid w:val="001638B5"/>
    <w:rsid w:val="0016504F"/>
    <w:rsid w:val="00170A2D"/>
    <w:rsid w:val="001752AD"/>
    <w:rsid w:val="001808BC"/>
    <w:rsid w:val="00182B81"/>
    <w:rsid w:val="0018619D"/>
    <w:rsid w:val="001874A4"/>
    <w:rsid w:val="00191B3F"/>
    <w:rsid w:val="001A011E"/>
    <w:rsid w:val="001A066A"/>
    <w:rsid w:val="001A13E6"/>
    <w:rsid w:val="001A32D7"/>
    <w:rsid w:val="001A5731"/>
    <w:rsid w:val="001B10D4"/>
    <w:rsid w:val="001B42C3"/>
    <w:rsid w:val="001C40E3"/>
    <w:rsid w:val="001C4CA5"/>
    <w:rsid w:val="001C5D5E"/>
    <w:rsid w:val="001C69C2"/>
    <w:rsid w:val="001D678D"/>
    <w:rsid w:val="001E03F8"/>
    <w:rsid w:val="001E1678"/>
    <w:rsid w:val="001E3376"/>
    <w:rsid w:val="001F2A4F"/>
    <w:rsid w:val="001F6D5C"/>
    <w:rsid w:val="002069B3"/>
    <w:rsid w:val="00220D98"/>
    <w:rsid w:val="002329CF"/>
    <w:rsid w:val="00232F5B"/>
    <w:rsid w:val="00236BCE"/>
    <w:rsid w:val="00247C29"/>
    <w:rsid w:val="00260467"/>
    <w:rsid w:val="00263EA3"/>
    <w:rsid w:val="00284F85"/>
    <w:rsid w:val="00290915"/>
    <w:rsid w:val="002A22E2"/>
    <w:rsid w:val="002B2E91"/>
    <w:rsid w:val="002B55A3"/>
    <w:rsid w:val="002C39EC"/>
    <w:rsid w:val="002C64F7"/>
    <w:rsid w:val="002E10C4"/>
    <w:rsid w:val="002E1F84"/>
    <w:rsid w:val="002F41F2"/>
    <w:rsid w:val="00301BF3"/>
    <w:rsid w:val="0030208D"/>
    <w:rsid w:val="00306278"/>
    <w:rsid w:val="00323418"/>
    <w:rsid w:val="003357BF"/>
    <w:rsid w:val="00337998"/>
    <w:rsid w:val="00357C60"/>
    <w:rsid w:val="00364FAD"/>
    <w:rsid w:val="0036738F"/>
    <w:rsid w:val="0036759C"/>
    <w:rsid w:val="00367AE5"/>
    <w:rsid w:val="00367D71"/>
    <w:rsid w:val="00373BE6"/>
    <w:rsid w:val="0037527D"/>
    <w:rsid w:val="0038150A"/>
    <w:rsid w:val="00384E5D"/>
    <w:rsid w:val="0038641E"/>
    <w:rsid w:val="003A0CC5"/>
    <w:rsid w:val="003A4088"/>
    <w:rsid w:val="003B6E75"/>
    <w:rsid w:val="003B7DA1"/>
    <w:rsid w:val="003C19A7"/>
    <w:rsid w:val="003D0379"/>
    <w:rsid w:val="003D2574"/>
    <w:rsid w:val="003D4C59"/>
    <w:rsid w:val="003F4267"/>
    <w:rsid w:val="00404032"/>
    <w:rsid w:val="0040736F"/>
    <w:rsid w:val="00410C98"/>
    <w:rsid w:val="00410DDA"/>
    <w:rsid w:val="00412C1F"/>
    <w:rsid w:val="004137F8"/>
    <w:rsid w:val="00415FF4"/>
    <w:rsid w:val="00421CB2"/>
    <w:rsid w:val="00424153"/>
    <w:rsid w:val="004268B9"/>
    <w:rsid w:val="00433B96"/>
    <w:rsid w:val="00442361"/>
    <w:rsid w:val="004440F1"/>
    <w:rsid w:val="004456DD"/>
    <w:rsid w:val="00446CDF"/>
    <w:rsid w:val="004521B7"/>
    <w:rsid w:val="00457321"/>
    <w:rsid w:val="00462AB5"/>
    <w:rsid w:val="00465EAF"/>
    <w:rsid w:val="004738C5"/>
    <w:rsid w:val="0047627F"/>
    <w:rsid w:val="00483905"/>
    <w:rsid w:val="004874BB"/>
    <w:rsid w:val="00491046"/>
    <w:rsid w:val="00493D1F"/>
    <w:rsid w:val="004A2AC7"/>
    <w:rsid w:val="004A6D2F"/>
    <w:rsid w:val="004C2887"/>
    <w:rsid w:val="004D2626"/>
    <w:rsid w:val="004D6E26"/>
    <w:rsid w:val="004D77D3"/>
    <w:rsid w:val="004E1434"/>
    <w:rsid w:val="004E2959"/>
    <w:rsid w:val="004E4034"/>
    <w:rsid w:val="004F20EF"/>
    <w:rsid w:val="0050321C"/>
    <w:rsid w:val="005307B5"/>
    <w:rsid w:val="00532368"/>
    <w:rsid w:val="005348A0"/>
    <w:rsid w:val="005434BB"/>
    <w:rsid w:val="0054712D"/>
    <w:rsid w:val="00547EF6"/>
    <w:rsid w:val="005570B5"/>
    <w:rsid w:val="00567E18"/>
    <w:rsid w:val="00575F5F"/>
    <w:rsid w:val="00581472"/>
    <w:rsid w:val="00581805"/>
    <w:rsid w:val="0058219D"/>
    <w:rsid w:val="00585F76"/>
    <w:rsid w:val="00593BC6"/>
    <w:rsid w:val="005A34E4"/>
    <w:rsid w:val="005A3C5E"/>
    <w:rsid w:val="005B17F2"/>
    <w:rsid w:val="005B7FB0"/>
    <w:rsid w:val="005C1597"/>
    <w:rsid w:val="005C18A6"/>
    <w:rsid w:val="005C35A5"/>
    <w:rsid w:val="005C577C"/>
    <w:rsid w:val="005D0621"/>
    <w:rsid w:val="005D1E27"/>
    <w:rsid w:val="005D2A3E"/>
    <w:rsid w:val="005E022E"/>
    <w:rsid w:val="005E5215"/>
    <w:rsid w:val="005F7F7E"/>
    <w:rsid w:val="00603A40"/>
    <w:rsid w:val="00614693"/>
    <w:rsid w:val="00623C2F"/>
    <w:rsid w:val="00633578"/>
    <w:rsid w:val="00637068"/>
    <w:rsid w:val="00650811"/>
    <w:rsid w:val="00661D3E"/>
    <w:rsid w:val="00672583"/>
    <w:rsid w:val="00692627"/>
    <w:rsid w:val="006969E7"/>
    <w:rsid w:val="006A1B53"/>
    <w:rsid w:val="006A3643"/>
    <w:rsid w:val="006C2A29"/>
    <w:rsid w:val="006C64CF"/>
    <w:rsid w:val="006D17B1"/>
    <w:rsid w:val="006D4752"/>
    <w:rsid w:val="006D708A"/>
    <w:rsid w:val="006E14C1"/>
    <w:rsid w:val="006E6A01"/>
    <w:rsid w:val="006F0292"/>
    <w:rsid w:val="006F27FA"/>
    <w:rsid w:val="006F416B"/>
    <w:rsid w:val="006F519B"/>
    <w:rsid w:val="006F55E3"/>
    <w:rsid w:val="00713675"/>
    <w:rsid w:val="00715823"/>
    <w:rsid w:val="007301C3"/>
    <w:rsid w:val="00737B93"/>
    <w:rsid w:val="00745BF0"/>
    <w:rsid w:val="007615FE"/>
    <w:rsid w:val="0076655C"/>
    <w:rsid w:val="007742DC"/>
    <w:rsid w:val="00781DC0"/>
    <w:rsid w:val="00783D43"/>
    <w:rsid w:val="0078743F"/>
    <w:rsid w:val="00790A5F"/>
    <w:rsid w:val="00791437"/>
    <w:rsid w:val="007925DA"/>
    <w:rsid w:val="007B0C2C"/>
    <w:rsid w:val="007B278E"/>
    <w:rsid w:val="007B533F"/>
    <w:rsid w:val="007C5C23"/>
    <w:rsid w:val="007D1D0F"/>
    <w:rsid w:val="007E2A26"/>
    <w:rsid w:val="007F06A5"/>
    <w:rsid w:val="007F14DA"/>
    <w:rsid w:val="007F2348"/>
    <w:rsid w:val="007F7A36"/>
    <w:rsid w:val="00803F07"/>
    <w:rsid w:val="0080749A"/>
    <w:rsid w:val="00810A14"/>
    <w:rsid w:val="00811CAE"/>
    <w:rsid w:val="00821FB8"/>
    <w:rsid w:val="00822ACD"/>
    <w:rsid w:val="00826920"/>
    <w:rsid w:val="00855C66"/>
    <w:rsid w:val="00867986"/>
    <w:rsid w:val="008704E0"/>
    <w:rsid w:val="00871EE4"/>
    <w:rsid w:val="00872747"/>
    <w:rsid w:val="00881B48"/>
    <w:rsid w:val="008A3A2B"/>
    <w:rsid w:val="008B293F"/>
    <w:rsid w:val="008B7371"/>
    <w:rsid w:val="008D3DDB"/>
    <w:rsid w:val="008F573F"/>
    <w:rsid w:val="008F5990"/>
    <w:rsid w:val="009034EC"/>
    <w:rsid w:val="00921B78"/>
    <w:rsid w:val="0093067A"/>
    <w:rsid w:val="00941C60"/>
    <w:rsid w:val="00941FD1"/>
    <w:rsid w:val="0095158E"/>
    <w:rsid w:val="009515C4"/>
    <w:rsid w:val="00954D36"/>
    <w:rsid w:val="00956AF7"/>
    <w:rsid w:val="009578C5"/>
    <w:rsid w:val="0096105B"/>
    <w:rsid w:val="0096662B"/>
    <w:rsid w:val="00966D42"/>
    <w:rsid w:val="009672D1"/>
    <w:rsid w:val="00971689"/>
    <w:rsid w:val="00973E90"/>
    <w:rsid w:val="00975B07"/>
    <w:rsid w:val="00980B4A"/>
    <w:rsid w:val="009873E7"/>
    <w:rsid w:val="009C492C"/>
    <w:rsid w:val="009C7042"/>
    <w:rsid w:val="009D1E51"/>
    <w:rsid w:val="009E3D0A"/>
    <w:rsid w:val="009E51FC"/>
    <w:rsid w:val="009F1D28"/>
    <w:rsid w:val="009F6703"/>
    <w:rsid w:val="009F7618"/>
    <w:rsid w:val="00A01811"/>
    <w:rsid w:val="00A03FA2"/>
    <w:rsid w:val="00A04D23"/>
    <w:rsid w:val="00A06766"/>
    <w:rsid w:val="00A13765"/>
    <w:rsid w:val="00A1777C"/>
    <w:rsid w:val="00A21B12"/>
    <w:rsid w:val="00A23F80"/>
    <w:rsid w:val="00A45DFB"/>
    <w:rsid w:val="00A46E98"/>
    <w:rsid w:val="00A54343"/>
    <w:rsid w:val="00A6352B"/>
    <w:rsid w:val="00A65BBA"/>
    <w:rsid w:val="00A701B5"/>
    <w:rsid w:val="00A714BB"/>
    <w:rsid w:val="00A72B22"/>
    <w:rsid w:val="00A77147"/>
    <w:rsid w:val="00A82B30"/>
    <w:rsid w:val="00A91F37"/>
    <w:rsid w:val="00A92D8F"/>
    <w:rsid w:val="00A95C1D"/>
    <w:rsid w:val="00AA278B"/>
    <w:rsid w:val="00AB0BBE"/>
    <w:rsid w:val="00AB1A70"/>
    <w:rsid w:val="00AB2988"/>
    <w:rsid w:val="00AB7999"/>
    <w:rsid w:val="00AD3292"/>
    <w:rsid w:val="00AE7AF0"/>
    <w:rsid w:val="00B12FBB"/>
    <w:rsid w:val="00B2438D"/>
    <w:rsid w:val="00B442B6"/>
    <w:rsid w:val="00B462E9"/>
    <w:rsid w:val="00B46D59"/>
    <w:rsid w:val="00B500CA"/>
    <w:rsid w:val="00B86314"/>
    <w:rsid w:val="00B944B3"/>
    <w:rsid w:val="00B94D6E"/>
    <w:rsid w:val="00BA1C2E"/>
    <w:rsid w:val="00BA39CB"/>
    <w:rsid w:val="00BB76F8"/>
    <w:rsid w:val="00BC200B"/>
    <w:rsid w:val="00BC4756"/>
    <w:rsid w:val="00BC69A4"/>
    <w:rsid w:val="00BD2926"/>
    <w:rsid w:val="00BE0680"/>
    <w:rsid w:val="00BE305F"/>
    <w:rsid w:val="00BE7BA3"/>
    <w:rsid w:val="00BF5682"/>
    <w:rsid w:val="00BF6F45"/>
    <w:rsid w:val="00BF7B09"/>
    <w:rsid w:val="00C12F64"/>
    <w:rsid w:val="00C20A95"/>
    <w:rsid w:val="00C25D86"/>
    <w:rsid w:val="00C2692F"/>
    <w:rsid w:val="00C3207C"/>
    <w:rsid w:val="00C400E1"/>
    <w:rsid w:val="00C41187"/>
    <w:rsid w:val="00C45271"/>
    <w:rsid w:val="00C527D7"/>
    <w:rsid w:val="00C55BC2"/>
    <w:rsid w:val="00C63C31"/>
    <w:rsid w:val="00C757A0"/>
    <w:rsid w:val="00C760DE"/>
    <w:rsid w:val="00C82630"/>
    <w:rsid w:val="00C85B4E"/>
    <w:rsid w:val="00C907F7"/>
    <w:rsid w:val="00CA2103"/>
    <w:rsid w:val="00CA2E6F"/>
    <w:rsid w:val="00CB18E4"/>
    <w:rsid w:val="00CB1D68"/>
    <w:rsid w:val="00CB6B99"/>
    <w:rsid w:val="00CB6C20"/>
    <w:rsid w:val="00CE19B9"/>
    <w:rsid w:val="00CE2E52"/>
    <w:rsid w:val="00CE4C87"/>
    <w:rsid w:val="00CE544A"/>
    <w:rsid w:val="00D11E1C"/>
    <w:rsid w:val="00D160B0"/>
    <w:rsid w:val="00D17F94"/>
    <w:rsid w:val="00D223FC"/>
    <w:rsid w:val="00D26D1E"/>
    <w:rsid w:val="00D41CED"/>
    <w:rsid w:val="00D474CF"/>
    <w:rsid w:val="00D534C8"/>
    <w:rsid w:val="00D5547E"/>
    <w:rsid w:val="00D5657F"/>
    <w:rsid w:val="00D60C11"/>
    <w:rsid w:val="00D719A6"/>
    <w:rsid w:val="00D860E2"/>
    <w:rsid w:val="00D869A1"/>
    <w:rsid w:val="00D875D1"/>
    <w:rsid w:val="00D90DFD"/>
    <w:rsid w:val="00DA413F"/>
    <w:rsid w:val="00DA4584"/>
    <w:rsid w:val="00DA614B"/>
    <w:rsid w:val="00DB3451"/>
    <w:rsid w:val="00DB7AD7"/>
    <w:rsid w:val="00DC3060"/>
    <w:rsid w:val="00DD18C2"/>
    <w:rsid w:val="00DD39ED"/>
    <w:rsid w:val="00DE0FB2"/>
    <w:rsid w:val="00DE557C"/>
    <w:rsid w:val="00DF093E"/>
    <w:rsid w:val="00DF3C1F"/>
    <w:rsid w:val="00DF701A"/>
    <w:rsid w:val="00E01F42"/>
    <w:rsid w:val="00E206D6"/>
    <w:rsid w:val="00E256BE"/>
    <w:rsid w:val="00E3366E"/>
    <w:rsid w:val="00E471CA"/>
    <w:rsid w:val="00E52086"/>
    <w:rsid w:val="00E543A6"/>
    <w:rsid w:val="00E60479"/>
    <w:rsid w:val="00E61D73"/>
    <w:rsid w:val="00E73684"/>
    <w:rsid w:val="00E818D6"/>
    <w:rsid w:val="00E87F7A"/>
    <w:rsid w:val="00E94B3E"/>
    <w:rsid w:val="00E96BD7"/>
    <w:rsid w:val="00EA0DB1"/>
    <w:rsid w:val="00EA0EE9"/>
    <w:rsid w:val="00EA39A7"/>
    <w:rsid w:val="00EB06A2"/>
    <w:rsid w:val="00EB53E0"/>
    <w:rsid w:val="00EB7275"/>
    <w:rsid w:val="00ED131D"/>
    <w:rsid w:val="00ED52CA"/>
    <w:rsid w:val="00ED5860"/>
    <w:rsid w:val="00EE35C9"/>
    <w:rsid w:val="00EF4D53"/>
    <w:rsid w:val="00F05ECA"/>
    <w:rsid w:val="00F16961"/>
    <w:rsid w:val="00F26F73"/>
    <w:rsid w:val="00F33021"/>
    <w:rsid w:val="00F33DF2"/>
    <w:rsid w:val="00F3566E"/>
    <w:rsid w:val="00F357E1"/>
    <w:rsid w:val="00F375FB"/>
    <w:rsid w:val="00F41AC1"/>
    <w:rsid w:val="00F4367A"/>
    <w:rsid w:val="00F445B1"/>
    <w:rsid w:val="00F45CD4"/>
    <w:rsid w:val="00F5539C"/>
    <w:rsid w:val="00F66DCA"/>
    <w:rsid w:val="00F74F53"/>
    <w:rsid w:val="00F7606D"/>
    <w:rsid w:val="00F81670"/>
    <w:rsid w:val="00F82024"/>
    <w:rsid w:val="00F82E2A"/>
    <w:rsid w:val="00F932C1"/>
    <w:rsid w:val="00F95739"/>
    <w:rsid w:val="00F95BC9"/>
    <w:rsid w:val="00FA624C"/>
    <w:rsid w:val="00FC1863"/>
    <w:rsid w:val="00FD0FAC"/>
    <w:rsid w:val="00FD1DFA"/>
    <w:rsid w:val="00FD4966"/>
    <w:rsid w:val="00FE4B1A"/>
    <w:rsid w:val="00FE4B4F"/>
    <w:rsid w:val="00FE5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B74DF4"/>
  <w15:docId w15:val="{AB8FF66A-22EC-4A48-9C5B-AFD2117A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386552">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474504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48728399">
      <w:bodyDiv w:val="1"/>
      <w:marLeft w:val="0"/>
      <w:marRight w:val="0"/>
      <w:marTop w:val="0"/>
      <w:marBottom w:val="0"/>
      <w:divBdr>
        <w:top w:val="none" w:sz="0" w:space="0" w:color="auto"/>
        <w:left w:val="none" w:sz="0" w:space="0" w:color="auto"/>
        <w:bottom w:val="none" w:sz="0" w:space="0" w:color="auto"/>
        <w:right w:val="none" w:sz="0" w:space="0" w:color="auto"/>
      </w:divBdr>
    </w:div>
    <w:div w:id="18719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anne.white@odsgroup.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qlapp\qlsharepo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hite\Desktop\QL%20and%20related%20systems\QL%20Housing%20and%20Asset%20Management%20System_Cabinet%20Report_v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db8f1d2-729e-4e17-b922-d1876d49c6d9"/>
    <ds:schemaRef ds:uri="http://www.w3.org/XML/1998/namespace"/>
    <ds:schemaRef ds:uri="http://purl.org/dc/elements/1.1/"/>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99CF4-A0A2-4EBE-A3A6-B24FF506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QL Housing and Asset Management System_Cabinet Report_v0.1</Template>
  <TotalTime>5</TotalTime>
  <Pages>5</Pages>
  <Words>1681</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swhite</dc:creator>
  <cp:keywords/>
  <dc:description/>
  <cp:lastModifiedBy>MITCHELL John</cp:lastModifiedBy>
  <cp:revision>5</cp:revision>
  <cp:lastPrinted>2015-07-03T12:50:00Z</cp:lastPrinted>
  <dcterms:created xsi:type="dcterms:W3CDTF">2021-02-01T15:14:00Z</dcterms:created>
  <dcterms:modified xsi:type="dcterms:W3CDTF">2021-02-01T23:13:00Z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